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1720AE0" w14:textId="7BD14D44" w:rsidR="00D732F8" w:rsidRPr="00D73819" w:rsidRDefault="00817D47" w:rsidP="00B103EB">
      <w:pPr>
        <w:jc w:val="center"/>
        <w:rPr>
          <w:rFonts w:ascii="Verdana" w:hAnsi="Verdana"/>
          <w:sz w:val="22"/>
          <w:szCs w:val="22"/>
        </w:rPr>
      </w:pPr>
      <w:r w:rsidRPr="00D73819">
        <w:rPr>
          <w:rFonts w:ascii="Verdana" w:hAnsi="Verdana"/>
          <w:noProof/>
          <w:sz w:val="22"/>
          <w:szCs w:val="22"/>
        </w:rPr>
        <w:drawing>
          <wp:inline distT="0" distB="0" distL="0" distR="0" wp14:anchorId="005BAF03" wp14:editId="70A3115C">
            <wp:extent cx="1197735" cy="437011"/>
            <wp:effectExtent l="0" t="0" r="0" b="0"/>
            <wp:docPr id="157074227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742278" name=""/>
                    <pic:cNvPicPr/>
                  </pic:nvPicPr>
                  <pic:blipFill>
                    <a:blip r:embed="rId7"/>
                    <a:stretch>
                      <a:fillRect/>
                    </a:stretch>
                  </pic:blipFill>
                  <pic:spPr>
                    <a:xfrm>
                      <a:off x="0" y="0"/>
                      <a:ext cx="1227640" cy="447922"/>
                    </a:xfrm>
                    <a:prstGeom prst="rect">
                      <a:avLst/>
                    </a:prstGeom>
                  </pic:spPr>
                </pic:pic>
              </a:graphicData>
            </a:graphic>
          </wp:inline>
        </w:drawing>
      </w:r>
    </w:p>
    <w:p w14:paraId="6E45C126" w14:textId="77777777" w:rsidR="00817D47" w:rsidRPr="00D73819" w:rsidRDefault="00817D47" w:rsidP="000632C7">
      <w:pPr>
        <w:jc w:val="both"/>
        <w:rPr>
          <w:rFonts w:ascii="Verdana" w:hAnsi="Verdana"/>
          <w:b/>
          <w:bCs/>
          <w:sz w:val="22"/>
          <w:szCs w:val="22"/>
        </w:rPr>
      </w:pPr>
    </w:p>
    <w:p w14:paraId="4FA1714E" w14:textId="21508910" w:rsidR="00F53729" w:rsidRPr="00D73819" w:rsidRDefault="00B103EB" w:rsidP="00F53729">
      <w:pPr>
        <w:jc w:val="center"/>
        <w:rPr>
          <w:rFonts w:ascii="Verdana" w:hAnsi="Verdana"/>
          <w:b/>
          <w:bCs/>
          <w:sz w:val="22"/>
          <w:szCs w:val="22"/>
        </w:rPr>
      </w:pPr>
      <w:r w:rsidRPr="00D73819">
        <w:rPr>
          <w:rFonts w:ascii="Verdana" w:hAnsi="Verdana"/>
          <w:b/>
          <w:bCs/>
          <w:sz w:val="22"/>
          <w:szCs w:val="22"/>
        </w:rPr>
        <w:t>Criteri di distribuzione con uno sguardo al riparto nelle procedure concorsuali</w:t>
      </w:r>
      <w:r w:rsidR="00F53729" w:rsidRPr="00D73819">
        <w:rPr>
          <w:rFonts w:ascii="Verdana" w:hAnsi="Verdana"/>
          <w:b/>
          <w:bCs/>
          <w:sz w:val="22"/>
          <w:szCs w:val="22"/>
        </w:rPr>
        <w:t>.</w:t>
      </w:r>
      <w:r w:rsidRPr="00D73819">
        <w:rPr>
          <w:rFonts w:ascii="Verdana" w:hAnsi="Verdana"/>
          <w:b/>
          <w:bCs/>
          <w:sz w:val="22"/>
          <w:szCs w:val="22"/>
        </w:rPr>
        <w:t xml:space="preserve"> </w:t>
      </w:r>
    </w:p>
    <w:p w14:paraId="135AC17F" w14:textId="1D355026" w:rsidR="00B103EB" w:rsidRPr="00D73819" w:rsidRDefault="00B103EB" w:rsidP="00F53729">
      <w:pPr>
        <w:jc w:val="center"/>
        <w:rPr>
          <w:rFonts w:ascii="Verdana" w:hAnsi="Verdana"/>
          <w:b/>
          <w:bCs/>
          <w:sz w:val="22"/>
          <w:szCs w:val="22"/>
        </w:rPr>
      </w:pPr>
      <w:r w:rsidRPr="00D73819">
        <w:rPr>
          <w:rFonts w:ascii="Verdana" w:hAnsi="Verdana"/>
          <w:b/>
          <w:bCs/>
          <w:sz w:val="22"/>
          <w:szCs w:val="22"/>
        </w:rPr>
        <w:t>Bari, 26-27 giugno 2026</w:t>
      </w:r>
    </w:p>
    <w:p w14:paraId="4206D075" w14:textId="77777777" w:rsidR="00B103EB" w:rsidRPr="00D73819" w:rsidRDefault="00B103EB" w:rsidP="00B103EB">
      <w:pPr>
        <w:jc w:val="both"/>
        <w:rPr>
          <w:rFonts w:ascii="Verdana" w:hAnsi="Verdana"/>
          <w:b/>
          <w:bCs/>
          <w:sz w:val="22"/>
          <w:szCs w:val="22"/>
        </w:rPr>
      </w:pPr>
    </w:p>
    <w:p w14:paraId="0656CE9E" w14:textId="77777777" w:rsidR="00B103EB" w:rsidRPr="00D73819" w:rsidRDefault="00B103EB" w:rsidP="00B103EB">
      <w:pPr>
        <w:jc w:val="both"/>
        <w:rPr>
          <w:rFonts w:ascii="Verdana" w:hAnsi="Verdana"/>
          <w:b/>
          <w:bCs/>
          <w:sz w:val="22"/>
          <w:szCs w:val="22"/>
        </w:rPr>
      </w:pPr>
    </w:p>
    <w:p w14:paraId="0F6369A7" w14:textId="64D57BD6" w:rsidR="00B26763" w:rsidRPr="00D73819" w:rsidRDefault="00133CC7" w:rsidP="00B26763">
      <w:pPr>
        <w:jc w:val="center"/>
        <w:rPr>
          <w:rFonts w:ascii="Verdana" w:hAnsi="Verdana"/>
          <w:b/>
          <w:bCs/>
          <w:sz w:val="22"/>
          <w:szCs w:val="22"/>
          <w:u w:val="single"/>
        </w:rPr>
      </w:pPr>
      <w:r w:rsidRPr="00D73819">
        <w:rPr>
          <w:rFonts w:ascii="Verdana" w:hAnsi="Verdana"/>
          <w:b/>
          <w:bCs/>
          <w:sz w:val="22"/>
          <w:szCs w:val="22"/>
          <w:u w:val="single"/>
        </w:rPr>
        <w:t xml:space="preserve">Regole distributive e </w:t>
      </w:r>
      <w:r w:rsidR="00B26763" w:rsidRPr="00D73819">
        <w:rPr>
          <w:rFonts w:ascii="Verdana" w:hAnsi="Verdana"/>
          <w:b/>
          <w:bCs/>
          <w:sz w:val="22"/>
          <w:szCs w:val="22"/>
          <w:u w:val="single"/>
        </w:rPr>
        <w:t>concordato preventivo con attribuzioni ai soci</w:t>
      </w:r>
    </w:p>
    <w:p w14:paraId="0ED7ADA5" w14:textId="73D8F073" w:rsidR="004B172A" w:rsidRPr="00D73819" w:rsidRDefault="004B172A" w:rsidP="00133CC7">
      <w:pPr>
        <w:jc w:val="center"/>
        <w:rPr>
          <w:rStyle w:val="s9"/>
          <w:rFonts w:ascii="Verdana" w:hAnsi="Verdana"/>
          <w:b/>
          <w:bCs/>
          <w:color w:val="000000"/>
          <w:sz w:val="22"/>
          <w:szCs w:val="22"/>
        </w:rPr>
      </w:pPr>
    </w:p>
    <w:p w14:paraId="16407C4C" w14:textId="770B7D6D" w:rsidR="004B172A" w:rsidRPr="00D73819" w:rsidRDefault="004B172A" w:rsidP="00133CC7">
      <w:pPr>
        <w:jc w:val="center"/>
        <w:rPr>
          <w:rFonts w:ascii="Verdana" w:hAnsi="Verdana"/>
          <w:b/>
          <w:bCs/>
          <w:sz w:val="16"/>
          <w:szCs w:val="16"/>
          <w:u w:val="single"/>
        </w:rPr>
      </w:pPr>
      <w:r w:rsidRPr="00D73819">
        <w:rPr>
          <w:rStyle w:val="s9"/>
          <w:rFonts w:ascii="Verdana" w:hAnsi="Verdana"/>
          <w:b/>
          <w:bCs/>
          <w:color w:val="000000"/>
          <w:sz w:val="16"/>
          <w:szCs w:val="16"/>
        </w:rPr>
        <w:t>Gian Paolo Macagno –</w:t>
      </w:r>
      <w:r w:rsidRPr="00D73819">
        <w:rPr>
          <w:rStyle w:val="apple-converted-space"/>
          <w:rFonts w:ascii="Verdana" w:hAnsi="Verdana"/>
          <w:b/>
          <w:bCs/>
          <w:color w:val="000000"/>
          <w:sz w:val="16"/>
          <w:szCs w:val="16"/>
        </w:rPr>
        <w:t> </w:t>
      </w:r>
      <w:r w:rsidRPr="00D73819">
        <w:rPr>
          <w:rStyle w:val="s10"/>
          <w:rFonts w:ascii="Verdana" w:hAnsi="Verdana"/>
          <w:color w:val="000000"/>
          <w:sz w:val="16"/>
          <w:szCs w:val="16"/>
        </w:rPr>
        <w:t>Consigliere presso la Corte di cassazione</w:t>
      </w:r>
    </w:p>
    <w:p w14:paraId="62712134" w14:textId="77777777" w:rsidR="00F53729" w:rsidRPr="00D73819" w:rsidRDefault="00F53729" w:rsidP="000632C7">
      <w:pPr>
        <w:jc w:val="both"/>
        <w:rPr>
          <w:rFonts w:ascii="Verdana" w:hAnsi="Verdana"/>
          <w:b/>
          <w:bCs/>
          <w:sz w:val="22"/>
          <w:szCs w:val="22"/>
        </w:rPr>
      </w:pPr>
    </w:p>
    <w:p w14:paraId="2E733F05" w14:textId="7DE55815" w:rsidR="000632C7" w:rsidRPr="00D73819" w:rsidRDefault="00D732F8" w:rsidP="000632C7">
      <w:pPr>
        <w:jc w:val="both"/>
        <w:rPr>
          <w:rFonts w:ascii="Verdana" w:hAnsi="Verdana"/>
          <w:b/>
          <w:bCs/>
          <w:sz w:val="22"/>
          <w:szCs w:val="22"/>
        </w:rPr>
      </w:pPr>
      <w:r w:rsidRPr="00D73819">
        <w:rPr>
          <w:rFonts w:ascii="Verdana" w:hAnsi="Verdana"/>
          <w:b/>
          <w:bCs/>
          <w:sz w:val="22"/>
          <w:szCs w:val="22"/>
        </w:rPr>
        <w:t>Introduzione: dal diritto societario tradizionale al diritto societario della crisi</w:t>
      </w:r>
      <w:r w:rsidR="0024516F" w:rsidRPr="00D73819">
        <w:rPr>
          <w:rFonts w:ascii="Verdana" w:hAnsi="Verdana"/>
          <w:b/>
          <w:bCs/>
          <w:sz w:val="22"/>
          <w:szCs w:val="22"/>
        </w:rPr>
        <w:t>.</w:t>
      </w:r>
      <w:r w:rsidR="000632C7" w:rsidRPr="00D73819">
        <w:rPr>
          <w:rFonts w:ascii="Verdana" w:hAnsi="Verdana"/>
          <w:b/>
          <w:bCs/>
          <w:sz w:val="22"/>
          <w:szCs w:val="22"/>
        </w:rPr>
        <w:t xml:space="preserve"> </w:t>
      </w:r>
    </w:p>
    <w:p w14:paraId="2068FE6D" w14:textId="77777777" w:rsidR="00101B8D" w:rsidRDefault="00101B8D" w:rsidP="000632C7">
      <w:pPr>
        <w:jc w:val="both"/>
        <w:rPr>
          <w:rFonts w:ascii="Verdana" w:hAnsi="Verdana"/>
          <w:sz w:val="22"/>
          <w:szCs w:val="22"/>
          <w:u w:val="single"/>
        </w:rPr>
      </w:pPr>
    </w:p>
    <w:p w14:paraId="779ECE2E" w14:textId="31FF0B80" w:rsidR="00D732F8" w:rsidRPr="000167D6" w:rsidRDefault="0024516F" w:rsidP="000632C7">
      <w:pPr>
        <w:jc w:val="both"/>
        <w:rPr>
          <w:rFonts w:ascii="Verdana" w:hAnsi="Verdana"/>
          <w:sz w:val="22"/>
          <w:szCs w:val="22"/>
          <w:u w:val="single"/>
        </w:rPr>
      </w:pPr>
      <w:r w:rsidRPr="000167D6">
        <w:rPr>
          <w:rFonts w:ascii="Verdana" w:hAnsi="Verdana"/>
          <w:sz w:val="22"/>
          <w:szCs w:val="22"/>
          <w:u w:val="single"/>
        </w:rPr>
        <w:t>C</w:t>
      </w:r>
      <w:r w:rsidR="00D732F8" w:rsidRPr="000167D6">
        <w:rPr>
          <w:rFonts w:ascii="Verdana" w:hAnsi="Verdana"/>
          <w:sz w:val="22"/>
          <w:szCs w:val="22"/>
          <w:u w:val="single"/>
        </w:rPr>
        <w:t>he cosa resta del diritto societario tradizionale quando la società entra in crisi, o anche solo si avvicina a una situazione di crisi?</w:t>
      </w:r>
    </w:p>
    <w:p w14:paraId="747DB917" w14:textId="77777777" w:rsidR="00A9354F" w:rsidRDefault="00A9354F" w:rsidP="0024516F">
      <w:pPr>
        <w:jc w:val="both"/>
        <w:rPr>
          <w:rFonts w:ascii="Verdana" w:hAnsi="Verdana"/>
          <w:sz w:val="22"/>
          <w:szCs w:val="22"/>
        </w:rPr>
      </w:pPr>
    </w:p>
    <w:p w14:paraId="16A1D40A" w14:textId="5D3279F6" w:rsidR="0024516F" w:rsidRPr="00D73819" w:rsidRDefault="0024516F" w:rsidP="0024516F">
      <w:pPr>
        <w:jc w:val="both"/>
        <w:rPr>
          <w:rFonts w:ascii="Verdana" w:hAnsi="Verdana"/>
          <w:sz w:val="22"/>
          <w:szCs w:val="22"/>
        </w:rPr>
      </w:pPr>
      <w:r w:rsidRPr="00D73819">
        <w:rPr>
          <w:rFonts w:ascii="Verdana" w:hAnsi="Verdana"/>
          <w:sz w:val="22"/>
          <w:szCs w:val="22"/>
        </w:rPr>
        <w:t>Il D.Lgs. n. 136 del 2024, il cosiddetto correttivo-</w:t>
      </w:r>
      <w:r w:rsidRPr="00A9354F">
        <w:rPr>
          <w:rFonts w:ascii="Verdana" w:hAnsi="Verdana"/>
          <w:i/>
          <w:iCs/>
          <w:sz w:val="22"/>
          <w:szCs w:val="22"/>
        </w:rPr>
        <w:t>ter</w:t>
      </w:r>
      <w:r w:rsidRPr="00D73819">
        <w:rPr>
          <w:rFonts w:ascii="Verdana" w:hAnsi="Verdana"/>
          <w:sz w:val="22"/>
          <w:szCs w:val="22"/>
        </w:rPr>
        <w:t xml:space="preserve"> al Codice della crisi d’impresa e dell’insolvenza </w:t>
      </w:r>
      <w:r w:rsidR="00D732F8" w:rsidRPr="00D73819">
        <w:rPr>
          <w:rFonts w:ascii="Verdana" w:hAnsi="Verdana"/>
          <w:sz w:val="22"/>
          <w:szCs w:val="22"/>
        </w:rPr>
        <w:t xml:space="preserve">non si limita a correggere singoli difetti tecnici della disciplina, ma conferma e rafforza una tendenza già avviata con la riforma del 2005, poi sviluppata con il Codice della crisi e con il D.Lgs. n. 83 del 2022. </w:t>
      </w:r>
    </w:p>
    <w:p w14:paraId="2258C45B" w14:textId="5773F599" w:rsidR="00D732F8" w:rsidRPr="00D73819" w:rsidRDefault="00D732F8" w:rsidP="0024516F">
      <w:pPr>
        <w:jc w:val="both"/>
        <w:rPr>
          <w:rFonts w:ascii="Verdana" w:hAnsi="Verdana"/>
          <w:sz w:val="22"/>
          <w:szCs w:val="22"/>
        </w:rPr>
      </w:pPr>
      <w:r w:rsidRPr="00D73819">
        <w:rPr>
          <w:rFonts w:ascii="Verdana" w:hAnsi="Verdana"/>
          <w:sz w:val="22"/>
          <w:szCs w:val="22"/>
        </w:rPr>
        <w:t xml:space="preserve">Tale tendenza consiste nel </w:t>
      </w:r>
      <w:r w:rsidRPr="00DF65E3">
        <w:rPr>
          <w:rFonts w:ascii="Verdana" w:hAnsi="Verdana"/>
          <w:sz w:val="22"/>
          <w:szCs w:val="22"/>
          <w:u w:val="single"/>
        </w:rPr>
        <w:t>progressivo arretramento della posizione dei soci</w:t>
      </w:r>
      <w:r w:rsidRPr="00D73819">
        <w:rPr>
          <w:rFonts w:ascii="Verdana" w:hAnsi="Verdana"/>
          <w:sz w:val="22"/>
          <w:szCs w:val="22"/>
        </w:rPr>
        <w:t>, sia sul piano dei diritti amministrativi sia sul piano dei diritti patrimoniali, in favore di una logica diversa: la conservazione della continuità aziendale e il buon esito della ristrutturazione.</w:t>
      </w:r>
    </w:p>
    <w:p w14:paraId="4271A476" w14:textId="5D71DAA0" w:rsidR="00D732F8" w:rsidRPr="00D73819" w:rsidRDefault="00D732F8" w:rsidP="0024516F">
      <w:pPr>
        <w:jc w:val="both"/>
        <w:rPr>
          <w:rFonts w:ascii="Verdana" w:hAnsi="Verdana"/>
          <w:sz w:val="22"/>
          <w:szCs w:val="22"/>
        </w:rPr>
      </w:pPr>
      <w:r w:rsidRPr="00D73819">
        <w:rPr>
          <w:rFonts w:ascii="Verdana" w:hAnsi="Verdana"/>
          <w:sz w:val="22"/>
          <w:szCs w:val="22"/>
        </w:rPr>
        <w:t>In altri termini, la società non è più considerata, in presenza della crisi, come un mero involucro organizzativo nella piena disponibilità dei soci. La struttura societaria, lo statuto, il capitale, i diritti di partecipazione e perfino le operazioni straordinarie divengono strumenti funzionali alla soluzione della crisi: dal principio di neutralità organizzativa si passa alla funzionalizzazione dell’organizzazione societaria al risanamento dell’impresa.</w:t>
      </w:r>
    </w:p>
    <w:p w14:paraId="7B6899A8" w14:textId="77777777" w:rsidR="00A9354F" w:rsidRDefault="00D732F8" w:rsidP="00DF65E3">
      <w:pPr>
        <w:ind w:left="708" w:hanging="708"/>
        <w:jc w:val="both"/>
        <w:rPr>
          <w:rFonts w:ascii="Verdana" w:hAnsi="Verdana"/>
          <w:sz w:val="22"/>
          <w:szCs w:val="22"/>
        </w:rPr>
      </w:pPr>
      <w:r w:rsidRPr="00D73819">
        <w:rPr>
          <w:rFonts w:ascii="Verdana" w:hAnsi="Verdana"/>
          <w:sz w:val="22"/>
          <w:szCs w:val="22"/>
        </w:rPr>
        <w:t>Per comprendere la portata del correttivo occorre partire dall’</w:t>
      </w:r>
      <w:r w:rsidRPr="00DF65E3">
        <w:rPr>
          <w:rFonts w:ascii="Verdana" w:hAnsi="Verdana"/>
          <w:sz w:val="22"/>
          <w:szCs w:val="22"/>
          <w:u w:val="single"/>
        </w:rPr>
        <w:t>evoluzione storica</w:t>
      </w:r>
      <w:r w:rsidRPr="00D73819">
        <w:rPr>
          <w:rFonts w:ascii="Verdana" w:hAnsi="Verdana"/>
          <w:sz w:val="22"/>
          <w:szCs w:val="22"/>
        </w:rPr>
        <w:t xml:space="preserve">. </w:t>
      </w:r>
    </w:p>
    <w:p w14:paraId="68A3959C" w14:textId="38E319FC" w:rsidR="00D732F8" w:rsidRPr="00D73819" w:rsidRDefault="00D732F8" w:rsidP="0024516F">
      <w:pPr>
        <w:jc w:val="both"/>
        <w:rPr>
          <w:rFonts w:ascii="Verdana" w:hAnsi="Verdana"/>
          <w:sz w:val="22"/>
          <w:szCs w:val="22"/>
        </w:rPr>
      </w:pPr>
      <w:r w:rsidRPr="00DF65E3">
        <w:rPr>
          <w:rFonts w:ascii="Verdana" w:hAnsi="Verdana"/>
          <w:sz w:val="22"/>
          <w:szCs w:val="22"/>
          <w:u w:val="single"/>
        </w:rPr>
        <w:t>Nel diritto societario tradizionale,</w:t>
      </w:r>
      <w:r w:rsidRPr="00D73819">
        <w:rPr>
          <w:rFonts w:ascii="Verdana" w:hAnsi="Verdana"/>
          <w:sz w:val="22"/>
          <w:szCs w:val="22"/>
        </w:rPr>
        <w:t xml:space="preserve"> la società è pensata principalmente come organizzazione dei soci: sono i soci a detenere il potere ultimo sulla struttura societaria, sulle modificazioni statutarie, sulle operazioni straordinarie e, in generale, sulle scelte che incidono sul contratto sociale.</w:t>
      </w:r>
    </w:p>
    <w:p w14:paraId="66AF5E6E" w14:textId="77777777" w:rsidR="00D732F8" w:rsidRPr="00D73819" w:rsidRDefault="00D732F8" w:rsidP="0024516F">
      <w:pPr>
        <w:jc w:val="both"/>
        <w:rPr>
          <w:rFonts w:ascii="Verdana" w:hAnsi="Verdana"/>
          <w:sz w:val="22"/>
          <w:szCs w:val="22"/>
        </w:rPr>
      </w:pPr>
      <w:r w:rsidRPr="00DF65E3">
        <w:rPr>
          <w:rFonts w:ascii="Verdana" w:hAnsi="Verdana"/>
          <w:sz w:val="22"/>
          <w:szCs w:val="22"/>
          <w:u w:val="single"/>
        </w:rPr>
        <w:t>Con l’irrompere della crisi questa impostazione entra però in tensione</w:t>
      </w:r>
      <w:r w:rsidRPr="00D73819">
        <w:rPr>
          <w:rFonts w:ascii="Verdana" w:hAnsi="Verdana"/>
          <w:sz w:val="22"/>
          <w:szCs w:val="22"/>
        </w:rPr>
        <w:t>. Se l’impresa deve essere salvata, e se la continuità aziendale assume un valore primario, non è più possibile ritenere che l’assetto societario resti neutrale rispetto alla ristrutturazione. Lo statuto e i diritti dei soci diventano parte della ricchezza o, comunque, delle leve negoziali utilizzabili per superare la crisi.</w:t>
      </w:r>
    </w:p>
    <w:p w14:paraId="3653E4C9" w14:textId="77777777" w:rsidR="005940F2" w:rsidRPr="00D73819" w:rsidRDefault="005940F2" w:rsidP="00D732F8">
      <w:pPr>
        <w:rPr>
          <w:rFonts w:ascii="Verdana" w:hAnsi="Verdana"/>
          <w:sz w:val="22"/>
          <w:szCs w:val="22"/>
          <w:u w:val="single"/>
        </w:rPr>
      </w:pPr>
      <w:r w:rsidRPr="00D73819">
        <w:rPr>
          <w:rFonts w:ascii="Verdana" w:hAnsi="Verdana"/>
          <w:sz w:val="22"/>
          <w:szCs w:val="22"/>
          <w:u w:val="single"/>
        </w:rPr>
        <w:t>Il</w:t>
      </w:r>
      <w:r w:rsidR="00D732F8" w:rsidRPr="00D73819">
        <w:rPr>
          <w:rFonts w:ascii="Verdana" w:hAnsi="Verdana"/>
          <w:sz w:val="22"/>
          <w:szCs w:val="22"/>
          <w:u w:val="single"/>
        </w:rPr>
        <w:t xml:space="preserve"> percorso </w:t>
      </w:r>
      <w:r w:rsidRPr="00D73819">
        <w:rPr>
          <w:rFonts w:ascii="Verdana" w:hAnsi="Verdana"/>
          <w:sz w:val="22"/>
          <w:szCs w:val="22"/>
          <w:u w:val="single"/>
        </w:rPr>
        <w:t xml:space="preserve">è, in via di prima approssimazione, riconducibile a </w:t>
      </w:r>
      <w:r w:rsidR="00D732F8" w:rsidRPr="00D73819">
        <w:rPr>
          <w:rFonts w:ascii="Verdana" w:hAnsi="Verdana"/>
          <w:sz w:val="22"/>
          <w:szCs w:val="22"/>
          <w:u w:val="single"/>
        </w:rPr>
        <w:t xml:space="preserve">tre momenti. </w:t>
      </w:r>
    </w:p>
    <w:p w14:paraId="566D21E7" w14:textId="77777777" w:rsidR="005940F2" w:rsidRPr="00D73819" w:rsidRDefault="00D732F8" w:rsidP="005940F2">
      <w:pPr>
        <w:jc w:val="both"/>
        <w:rPr>
          <w:rFonts w:ascii="Verdana" w:hAnsi="Verdana"/>
          <w:sz w:val="22"/>
          <w:szCs w:val="22"/>
        </w:rPr>
      </w:pPr>
      <w:r w:rsidRPr="00D73819">
        <w:rPr>
          <w:rFonts w:ascii="Verdana" w:hAnsi="Verdana"/>
          <w:sz w:val="22"/>
          <w:szCs w:val="22"/>
        </w:rPr>
        <w:t xml:space="preserve">Il primo momento è la riforma della legge fallimentare del 2005, che già consentiva al piano di concordato di prevedere operazioni straordinarie e attribuzioni di azioni, quote o strumenti finanziari ai creditori. </w:t>
      </w:r>
    </w:p>
    <w:p w14:paraId="15F26790" w14:textId="5651D008" w:rsidR="005940F2" w:rsidRPr="00D73819" w:rsidRDefault="00D732F8" w:rsidP="005940F2">
      <w:pPr>
        <w:jc w:val="both"/>
        <w:rPr>
          <w:rFonts w:ascii="Verdana" w:hAnsi="Verdana"/>
          <w:sz w:val="22"/>
          <w:szCs w:val="22"/>
        </w:rPr>
      </w:pPr>
      <w:r w:rsidRPr="00D73819">
        <w:rPr>
          <w:rFonts w:ascii="Verdana" w:hAnsi="Verdana"/>
          <w:sz w:val="22"/>
          <w:szCs w:val="22"/>
        </w:rPr>
        <w:t xml:space="preserve">Il </w:t>
      </w:r>
      <w:r w:rsidR="00A26812" w:rsidRPr="00D73819">
        <w:rPr>
          <w:rFonts w:ascii="Verdana" w:hAnsi="Verdana"/>
          <w:sz w:val="22"/>
          <w:szCs w:val="22"/>
        </w:rPr>
        <w:t>secondo</w:t>
      </w:r>
      <w:r w:rsidRPr="00D73819">
        <w:rPr>
          <w:rFonts w:ascii="Verdana" w:hAnsi="Verdana"/>
          <w:sz w:val="22"/>
          <w:szCs w:val="22"/>
        </w:rPr>
        <w:t xml:space="preserve"> è rappresentato dal D.Lgs. n. 83 del 2022, che introduce nel Codice della crisi gli artt. 120-bis e seguenti, dedicati alle società. </w:t>
      </w:r>
    </w:p>
    <w:p w14:paraId="70C69D37" w14:textId="33BA87A4" w:rsidR="00D732F8" w:rsidRPr="00D73819" w:rsidRDefault="00D732F8" w:rsidP="005940F2">
      <w:pPr>
        <w:jc w:val="both"/>
        <w:rPr>
          <w:rFonts w:ascii="Verdana" w:hAnsi="Verdana"/>
          <w:sz w:val="22"/>
          <w:szCs w:val="22"/>
        </w:rPr>
      </w:pPr>
      <w:r w:rsidRPr="00D73819">
        <w:rPr>
          <w:rFonts w:ascii="Verdana" w:hAnsi="Verdana"/>
          <w:sz w:val="22"/>
          <w:szCs w:val="22"/>
        </w:rPr>
        <w:t>Il terzo momento è costituito dal correttivo-ter del 2024, che sposta e riorganizza questa disciplina nel nuovo Capo III-bis, dedicato non più soltanto al concordato preventivo, ma più ampiamente agli strumenti di regolazione della crisi e dell’insolvenza.</w:t>
      </w:r>
    </w:p>
    <w:p w14:paraId="5B4793E5" w14:textId="77777777" w:rsidR="00940910" w:rsidRPr="00D73819" w:rsidRDefault="00D732F8" w:rsidP="00940910">
      <w:pPr>
        <w:jc w:val="both"/>
        <w:rPr>
          <w:rFonts w:ascii="Verdana" w:hAnsi="Verdana"/>
          <w:sz w:val="22"/>
          <w:szCs w:val="22"/>
        </w:rPr>
      </w:pPr>
      <w:r w:rsidRPr="00D73819">
        <w:rPr>
          <w:rFonts w:ascii="Verdana" w:hAnsi="Verdana"/>
          <w:sz w:val="22"/>
          <w:szCs w:val="22"/>
        </w:rPr>
        <w:t xml:space="preserve">Questo spostamento non è solo formale. </w:t>
      </w:r>
    </w:p>
    <w:p w14:paraId="0E8A3F78" w14:textId="2D123A25" w:rsidR="00D732F8" w:rsidRPr="00D73819" w:rsidRDefault="00D732F8" w:rsidP="00940910">
      <w:pPr>
        <w:jc w:val="both"/>
        <w:rPr>
          <w:rFonts w:ascii="Verdana" w:hAnsi="Verdana"/>
          <w:sz w:val="22"/>
          <w:szCs w:val="22"/>
        </w:rPr>
      </w:pPr>
      <w:r w:rsidRPr="00D73819">
        <w:rPr>
          <w:rFonts w:ascii="Verdana" w:hAnsi="Verdana"/>
          <w:sz w:val="22"/>
          <w:szCs w:val="22"/>
        </w:rPr>
        <w:t xml:space="preserve">Esso segnala che </w:t>
      </w:r>
      <w:r w:rsidRPr="00101B8D">
        <w:rPr>
          <w:rFonts w:ascii="Verdana" w:hAnsi="Verdana"/>
          <w:sz w:val="22"/>
          <w:szCs w:val="22"/>
          <w:u w:val="single"/>
        </w:rPr>
        <w:t>la disciplina della società in crisi non è più un’appendice del concordato preventivo, ma tende a diventare uno statuto speciale dell’impresa societaria in crisi</w:t>
      </w:r>
      <w:r w:rsidRPr="00D73819">
        <w:rPr>
          <w:rFonts w:ascii="Verdana" w:hAnsi="Verdana"/>
          <w:sz w:val="22"/>
          <w:szCs w:val="22"/>
        </w:rPr>
        <w:t xml:space="preserve">: la partecipazione sociale perde una parte della sua dimensione organizzativa e assume </w:t>
      </w:r>
      <w:r w:rsidRPr="00D73819">
        <w:rPr>
          <w:rFonts w:ascii="Verdana" w:hAnsi="Verdana"/>
          <w:sz w:val="22"/>
          <w:szCs w:val="22"/>
        </w:rPr>
        <w:lastRenderedPageBreak/>
        <w:t>una connotazione sempre più finanziaria, contendibile con quella degli altri portatori di interessi, in particolare i creditori.</w:t>
      </w:r>
    </w:p>
    <w:p w14:paraId="41C8B680" w14:textId="77777777" w:rsidR="003C20F7" w:rsidRDefault="003C20F7" w:rsidP="00D732F8">
      <w:pPr>
        <w:rPr>
          <w:rFonts w:ascii="Verdana" w:hAnsi="Verdana"/>
          <w:sz w:val="22"/>
          <w:szCs w:val="22"/>
          <w:u w:val="single"/>
        </w:rPr>
      </w:pPr>
    </w:p>
    <w:p w14:paraId="68B19511" w14:textId="68488950" w:rsidR="00D732F8" w:rsidRPr="00D73819" w:rsidRDefault="00D732F8" w:rsidP="00D732F8">
      <w:pPr>
        <w:rPr>
          <w:rFonts w:ascii="Verdana" w:hAnsi="Verdana"/>
          <w:sz w:val="22"/>
          <w:szCs w:val="22"/>
          <w:u w:val="single"/>
        </w:rPr>
      </w:pPr>
      <w:r w:rsidRPr="00D73819">
        <w:rPr>
          <w:rFonts w:ascii="Verdana" w:hAnsi="Verdana"/>
          <w:sz w:val="22"/>
          <w:szCs w:val="22"/>
          <w:u w:val="single"/>
        </w:rPr>
        <w:t>L’art. 120-bis CCII: la competenza esclusiva di amministratori e liquidatori</w:t>
      </w:r>
    </w:p>
    <w:p w14:paraId="576E576E" w14:textId="77777777" w:rsidR="003C20F7" w:rsidRDefault="003C20F7" w:rsidP="004964B6">
      <w:pPr>
        <w:jc w:val="both"/>
        <w:rPr>
          <w:rFonts w:ascii="Verdana" w:hAnsi="Verdana"/>
          <w:sz w:val="22"/>
          <w:szCs w:val="22"/>
        </w:rPr>
      </w:pPr>
    </w:p>
    <w:p w14:paraId="55402F48" w14:textId="77777777" w:rsidR="003C20F7" w:rsidRDefault="00D732F8" w:rsidP="004964B6">
      <w:pPr>
        <w:jc w:val="both"/>
        <w:rPr>
          <w:rFonts w:ascii="Verdana" w:hAnsi="Verdana"/>
          <w:sz w:val="22"/>
          <w:szCs w:val="22"/>
        </w:rPr>
      </w:pPr>
      <w:r w:rsidRPr="00D73819">
        <w:rPr>
          <w:rFonts w:ascii="Verdana" w:hAnsi="Verdana"/>
          <w:sz w:val="22"/>
          <w:szCs w:val="22"/>
        </w:rPr>
        <w:t xml:space="preserve">Il cuore della trasformazione è rappresentato dall’art. 120-bis CCII. </w:t>
      </w:r>
    </w:p>
    <w:p w14:paraId="7FB08909" w14:textId="3F1CF718" w:rsidR="00D732F8" w:rsidRPr="00D73819" w:rsidRDefault="00D732F8" w:rsidP="004964B6">
      <w:pPr>
        <w:jc w:val="both"/>
        <w:rPr>
          <w:rFonts w:ascii="Verdana" w:hAnsi="Verdana"/>
          <w:sz w:val="22"/>
          <w:szCs w:val="22"/>
        </w:rPr>
      </w:pPr>
      <w:r w:rsidRPr="00D73819">
        <w:rPr>
          <w:rFonts w:ascii="Verdana" w:hAnsi="Verdana"/>
          <w:sz w:val="22"/>
          <w:szCs w:val="22"/>
        </w:rPr>
        <w:t xml:space="preserve">La norma stabilisce che </w:t>
      </w:r>
      <w:r w:rsidRPr="003C20F7">
        <w:rPr>
          <w:rFonts w:ascii="Verdana" w:hAnsi="Verdana"/>
          <w:sz w:val="22"/>
          <w:szCs w:val="22"/>
          <w:u w:val="single"/>
        </w:rPr>
        <w:t>l’accesso a uno strumento di regolazione della crisi e dell’insolvenza, anche con riserva di deposito della proposta, del piano e degli accordi, è deciso in via esclusiva dagli amministratori o dai liquidatori</w:t>
      </w:r>
      <w:r w:rsidRPr="00D73819">
        <w:rPr>
          <w:rFonts w:ascii="Verdana" w:hAnsi="Verdana"/>
          <w:sz w:val="22"/>
          <w:szCs w:val="22"/>
        </w:rPr>
        <w:t>, i quali determinano anche il contenuto della proposta e le condizioni del piano.</w:t>
      </w:r>
    </w:p>
    <w:p w14:paraId="22C2BE03" w14:textId="77777777" w:rsidR="004964B6" w:rsidRPr="00D73819" w:rsidRDefault="00D732F8" w:rsidP="00D732F8">
      <w:pPr>
        <w:rPr>
          <w:rFonts w:ascii="Verdana" w:hAnsi="Verdana"/>
          <w:sz w:val="22"/>
          <w:szCs w:val="22"/>
        </w:rPr>
      </w:pPr>
      <w:r w:rsidRPr="00D73819">
        <w:rPr>
          <w:rFonts w:ascii="Verdana" w:hAnsi="Verdana"/>
          <w:sz w:val="22"/>
          <w:szCs w:val="22"/>
        </w:rPr>
        <w:t xml:space="preserve">Il dato è decisivo sotto almeno due profili. </w:t>
      </w:r>
    </w:p>
    <w:p w14:paraId="3EA900C6" w14:textId="77777777" w:rsidR="00602B57" w:rsidRPr="00D73819" w:rsidRDefault="00602B57">
      <w:pPr>
        <w:jc w:val="both"/>
        <w:rPr>
          <w:rFonts w:ascii="Verdana" w:hAnsi="Verdana"/>
          <w:sz w:val="22"/>
          <w:szCs w:val="22"/>
        </w:rPr>
      </w:pPr>
      <w:r w:rsidRPr="00D73819">
        <w:rPr>
          <w:rFonts w:ascii="Verdana" w:hAnsi="Verdana"/>
          <w:sz w:val="22"/>
          <w:szCs w:val="22"/>
        </w:rPr>
        <w:t>Il primo è oggettivo: la competenza esclusiva dell’organo gestorio si anticipa fino al momento iniziale dell’accesso allo strumento, compreso l’accesso con riserva. I soci non sono chiamati a decidere se intraprendere il percorso di regolazione della crisi, né a definirne il contenuto.</w:t>
      </w:r>
    </w:p>
    <w:p w14:paraId="328612A2" w14:textId="783B66C0" w:rsidR="00D732F8" w:rsidRPr="00D73819" w:rsidRDefault="00FB22C8" w:rsidP="004964B6">
      <w:pPr>
        <w:jc w:val="both"/>
        <w:rPr>
          <w:rFonts w:ascii="Verdana" w:hAnsi="Verdana"/>
          <w:sz w:val="22"/>
          <w:szCs w:val="22"/>
        </w:rPr>
      </w:pPr>
      <w:r w:rsidRPr="00D73819">
        <w:rPr>
          <w:rFonts w:ascii="Verdana" w:hAnsi="Verdana"/>
          <w:sz w:val="22"/>
          <w:szCs w:val="22"/>
        </w:rPr>
        <w:t>I</w:t>
      </w:r>
      <w:r w:rsidR="00D732F8" w:rsidRPr="00D73819">
        <w:rPr>
          <w:rFonts w:ascii="Verdana" w:hAnsi="Verdana"/>
          <w:sz w:val="22"/>
          <w:szCs w:val="22"/>
        </w:rPr>
        <w:t>l secondo profilo è temporale: il piano può essere modificato nel corso della procedura sino all’omologazione, e anche questa attività resta sottratta alla competenza assembleare.</w:t>
      </w:r>
    </w:p>
    <w:p w14:paraId="5C85AE23" w14:textId="34D3C822" w:rsidR="00D732F8" w:rsidRPr="00D73819" w:rsidRDefault="00D732F8" w:rsidP="009D2777">
      <w:pPr>
        <w:jc w:val="both"/>
        <w:rPr>
          <w:rFonts w:ascii="Verdana" w:hAnsi="Verdana"/>
          <w:sz w:val="22"/>
          <w:szCs w:val="22"/>
        </w:rPr>
      </w:pPr>
      <w:r w:rsidRPr="00D73819">
        <w:rPr>
          <w:rFonts w:ascii="Verdana" w:hAnsi="Verdana"/>
          <w:sz w:val="22"/>
          <w:szCs w:val="22"/>
        </w:rPr>
        <w:t xml:space="preserve">Ne deriva un effetto molto forte: la riorganizzazione della struttura finanziaria e </w:t>
      </w:r>
      <w:r w:rsidR="009D2777">
        <w:rPr>
          <w:rFonts w:ascii="Verdana" w:hAnsi="Verdana"/>
          <w:sz w:val="22"/>
          <w:szCs w:val="22"/>
        </w:rPr>
        <w:t>s</w:t>
      </w:r>
      <w:r w:rsidRPr="00D73819">
        <w:rPr>
          <w:rFonts w:ascii="Verdana" w:hAnsi="Verdana"/>
          <w:sz w:val="22"/>
          <w:szCs w:val="22"/>
        </w:rPr>
        <w:t xml:space="preserve">ocietaria può avvenire senza il consenso dei soci, contro la volontà di singoli soci e, in talune ipotesi, anche all’insaputa iniziale della compagine sociale. </w:t>
      </w:r>
    </w:p>
    <w:p w14:paraId="57DF68A3" w14:textId="77777777" w:rsidR="003C20F7" w:rsidRPr="003C20F7" w:rsidRDefault="00D732F8" w:rsidP="00BC547D">
      <w:pPr>
        <w:jc w:val="both"/>
        <w:rPr>
          <w:rFonts w:ascii="Verdana" w:hAnsi="Verdana"/>
          <w:sz w:val="22"/>
          <w:szCs w:val="22"/>
          <w:u w:val="single"/>
        </w:rPr>
      </w:pPr>
      <w:r w:rsidRPr="003C20F7">
        <w:rPr>
          <w:rFonts w:ascii="Verdana" w:hAnsi="Verdana"/>
          <w:sz w:val="22"/>
          <w:szCs w:val="22"/>
          <w:u w:val="single"/>
        </w:rPr>
        <w:t xml:space="preserve">Il correttivo-ter aggiunge poi un elemento ulteriore: la competenza è estesa anche ai liquidatori. </w:t>
      </w:r>
    </w:p>
    <w:p w14:paraId="0F765407" w14:textId="1A62B5A6" w:rsidR="00D732F8" w:rsidRPr="00D73819" w:rsidRDefault="00D732F8" w:rsidP="00BC547D">
      <w:pPr>
        <w:jc w:val="both"/>
        <w:rPr>
          <w:rFonts w:ascii="Verdana" w:hAnsi="Verdana"/>
          <w:sz w:val="22"/>
          <w:szCs w:val="22"/>
        </w:rPr>
      </w:pPr>
      <w:r w:rsidRPr="00D73819">
        <w:rPr>
          <w:rFonts w:ascii="Verdana" w:hAnsi="Verdana"/>
          <w:sz w:val="22"/>
          <w:szCs w:val="22"/>
        </w:rPr>
        <w:t>Se i soci hanno già deliberato lo scioglimento della società, la presenza di una competenza esclusiva dei liquidatori ad accedere a uno strumento di regolazione della crisi può consentire, almeno in prospettiva, di recuperare la continuità aziendale anche contro la scelta liquidatoria della compagine sociale.</w:t>
      </w:r>
    </w:p>
    <w:p w14:paraId="6E017724" w14:textId="77777777" w:rsidR="00FB3EA5" w:rsidRDefault="005562ED" w:rsidP="005562ED">
      <w:pPr>
        <w:jc w:val="both"/>
        <w:rPr>
          <w:rFonts w:ascii="Verdana" w:hAnsi="Verdana"/>
          <w:sz w:val="22"/>
          <w:szCs w:val="22"/>
        </w:rPr>
      </w:pPr>
      <w:r w:rsidRPr="00D73819">
        <w:rPr>
          <w:rFonts w:ascii="Verdana" w:hAnsi="Verdana"/>
          <w:sz w:val="22"/>
          <w:szCs w:val="22"/>
        </w:rPr>
        <w:t>L</w:t>
      </w:r>
      <w:r w:rsidR="00D732F8" w:rsidRPr="00D73819">
        <w:rPr>
          <w:rFonts w:ascii="Verdana" w:hAnsi="Verdana"/>
          <w:sz w:val="22"/>
          <w:szCs w:val="22"/>
        </w:rPr>
        <w:t xml:space="preserve">a società, una volta entrata nella crisi, non è </w:t>
      </w:r>
      <w:r w:rsidRPr="00D73819">
        <w:rPr>
          <w:rFonts w:ascii="Verdana" w:hAnsi="Verdana"/>
          <w:sz w:val="22"/>
          <w:szCs w:val="22"/>
        </w:rPr>
        <w:t xml:space="preserve">dunque </w:t>
      </w:r>
      <w:r w:rsidR="00D732F8" w:rsidRPr="00D73819">
        <w:rPr>
          <w:rFonts w:ascii="Verdana" w:hAnsi="Verdana"/>
          <w:sz w:val="22"/>
          <w:szCs w:val="22"/>
        </w:rPr>
        <w:t>più soltanto oggetto del potere dispositivo dei</w:t>
      </w:r>
      <w:r w:rsidRPr="00D73819">
        <w:rPr>
          <w:rFonts w:ascii="Verdana" w:hAnsi="Verdana"/>
          <w:sz w:val="22"/>
          <w:szCs w:val="22"/>
        </w:rPr>
        <w:t xml:space="preserve"> s</w:t>
      </w:r>
      <w:r w:rsidR="00D732F8" w:rsidRPr="00D73819">
        <w:rPr>
          <w:rFonts w:ascii="Verdana" w:hAnsi="Verdana"/>
          <w:sz w:val="22"/>
          <w:szCs w:val="22"/>
        </w:rPr>
        <w:t xml:space="preserve">oci, ma diventa un valore dell’impresa debitrice, da preservare se funzionale al risanamento. </w:t>
      </w:r>
    </w:p>
    <w:p w14:paraId="498245D1" w14:textId="6FB42BCE" w:rsidR="00D732F8" w:rsidRPr="00D73819" w:rsidRDefault="00D732F8" w:rsidP="005562ED">
      <w:pPr>
        <w:jc w:val="both"/>
        <w:rPr>
          <w:rFonts w:ascii="Verdana" w:hAnsi="Verdana"/>
          <w:sz w:val="22"/>
          <w:szCs w:val="22"/>
        </w:rPr>
      </w:pPr>
      <w:r w:rsidRPr="00D73819">
        <w:rPr>
          <w:rFonts w:ascii="Verdana" w:hAnsi="Verdana"/>
          <w:sz w:val="22"/>
          <w:szCs w:val="22"/>
        </w:rPr>
        <w:t>In questa prospettiva, l’interesse sociale tende a spostarsi da una concezione contrattuale, centrata sui soci, verso una concezione più istituzionale, centrata sull’impresa come organizzazione produttiva da conservare quando ciò sia utile al superamento della crisi.</w:t>
      </w:r>
    </w:p>
    <w:p w14:paraId="6938B6BA" w14:textId="77777777" w:rsidR="00FB3EA5" w:rsidRDefault="00FB3EA5" w:rsidP="00CE681E">
      <w:pPr>
        <w:rPr>
          <w:rFonts w:ascii="Verdana" w:hAnsi="Verdana"/>
          <w:sz w:val="22"/>
          <w:szCs w:val="22"/>
          <w:u w:val="single"/>
        </w:rPr>
      </w:pPr>
    </w:p>
    <w:p w14:paraId="257C8CE1" w14:textId="3FC6F8E7" w:rsidR="00602B57" w:rsidRPr="00D73819" w:rsidRDefault="00602B57" w:rsidP="00CE681E">
      <w:pPr>
        <w:rPr>
          <w:rFonts w:ascii="Verdana" w:hAnsi="Verdana"/>
          <w:sz w:val="22"/>
          <w:szCs w:val="22"/>
        </w:rPr>
      </w:pPr>
      <w:r w:rsidRPr="00D73819">
        <w:rPr>
          <w:rFonts w:ascii="Verdana" w:hAnsi="Verdana"/>
          <w:sz w:val="22"/>
          <w:szCs w:val="22"/>
          <w:u w:val="single"/>
        </w:rPr>
        <w:t>La trasformazione dei rimedi dei soci</w:t>
      </w:r>
    </w:p>
    <w:p w14:paraId="6B8F5063" w14:textId="77777777" w:rsidR="00FB3EA5" w:rsidRDefault="00FB3EA5" w:rsidP="003620C5">
      <w:pPr>
        <w:jc w:val="both"/>
        <w:rPr>
          <w:rFonts w:ascii="Verdana" w:hAnsi="Verdana"/>
          <w:sz w:val="22"/>
          <w:szCs w:val="22"/>
        </w:rPr>
      </w:pPr>
    </w:p>
    <w:p w14:paraId="68A8932C" w14:textId="3ECD785D" w:rsidR="00D732F8" w:rsidRPr="00D73819" w:rsidRDefault="00D732F8" w:rsidP="003620C5">
      <w:pPr>
        <w:jc w:val="both"/>
        <w:rPr>
          <w:rFonts w:ascii="Verdana" w:hAnsi="Verdana"/>
          <w:sz w:val="22"/>
          <w:szCs w:val="22"/>
        </w:rPr>
      </w:pPr>
      <w:r w:rsidRPr="00D73819">
        <w:rPr>
          <w:rFonts w:ascii="Verdana" w:hAnsi="Verdana"/>
          <w:sz w:val="22"/>
          <w:szCs w:val="22"/>
        </w:rPr>
        <w:t>Un altro profilo centrale riguarda i rimedi. Nel diritto societario comune, il socio può reagire a determinate decisioni attraverso strumenti di tipo reale o invalidatorio: impugnazioni, contestazioni delle deliberazioni, recesso, rimedi volti a incidere direttamente sull’efficacia dell’atto societario.</w:t>
      </w:r>
    </w:p>
    <w:p w14:paraId="30AA0F5C" w14:textId="77777777" w:rsidR="003620C5" w:rsidRPr="00D73819" w:rsidRDefault="00D732F8" w:rsidP="003620C5">
      <w:pPr>
        <w:jc w:val="both"/>
        <w:rPr>
          <w:rFonts w:ascii="Verdana" w:hAnsi="Verdana"/>
          <w:sz w:val="22"/>
          <w:szCs w:val="22"/>
        </w:rPr>
      </w:pPr>
      <w:r w:rsidRPr="00FB3EA5">
        <w:rPr>
          <w:rFonts w:ascii="Verdana" w:hAnsi="Verdana"/>
          <w:sz w:val="22"/>
          <w:szCs w:val="22"/>
          <w:u w:val="single"/>
        </w:rPr>
        <w:t xml:space="preserve">Nella disciplina della crisi, invece, </w:t>
      </w:r>
      <w:r w:rsidR="003620C5" w:rsidRPr="00FB3EA5">
        <w:rPr>
          <w:rFonts w:ascii="Verdana" w:hAnsi="Verdana"/>
          <w:sz w:val="22"/>
          <w:szCs w:val="22"/>
          <w:u w:val="single"/>
        </w:rPr>
        <w:t xml:space="preserve">vi è </w:t>
      </w:r>
      <w:r w:rsidRPr="00FB3EA5">
        <w:rPr>
          <w:rFonts w:ascii="Verdana" w:hAnsi="Verdana"/>
          <w:sz w:val="22"/>
          <w:szCs w:val="22"/>
          <w:u w:val="single"/>
        </w:rPr>
        <w:t>un progressivo spostamento dal piano reale al piano obbligatorio e risarcitorio</w:t>
      </w:r>
      <w:r w:rsidRPr="00D73819">
        <w:rPr>
          <w:rFonts w:ascii="Verdana" w:hAnsi="Verdana"/>
          <w:sz w:val="22"/>
          <w:szCs w:val="22"/>
        </w:rPr>
        <w:t xml:space="preserve">. </w:t>
      </w:r>
    </w:p>
    <w:p w14:paraId="079830A6" w14:textId="77777777" w:rsidR="00FB3EA5" w:rsidRDefault="003620C5" w:rsidP="003620C5">
      <w:pPr>
        <w:jc w:val="both"/>
        <w:rPr>
          <w:rFonts w:ascii="Verdana" w:hAnsi="Verdana"/>
          <w:sz w:val="22"/>
          <w:szCs w:val="22"/>
        </w:rPr>
      </w:pPr>
      <w:r w:rsidRPr="00D73819">
        <w:rPr>
          <w:rFonts w:ascii="Verdana" w:hAnsi="Verdana"/>
          <w:sz w:val="22"/>
          <w:szCs w:val="22"/>
        </w:rPr>
        <w:t>I</w:t>
      </w:r>
      <w:r w:rsidR="00D732F8" w:rsidRPr="00D73819">
        <w:rPr>
          <w:rFonts w:ascii="Verdana" w:hAnsi="Verdana"/>
          <w:sz w:val="22"/>
          <w:szCs w:val="22"/>
        </w:rPr>
        <w:t>l socio che subisca un pregiudizio non sempre può bloccare o demolire l’operazione; più spesso potrà far valere una tutela per equivalente, cioè un diritto al risarcimento del danno.</w:t>
      </w:r>
      <w:r w:rsidRPr="00D73819">
        <w:rPr>
          <w:rFonts w:ascii="Verdana" w:hAnsi="Verdana"/>
          <w:sz w:val="22"/>
          <w:szCs w:val="22"/>
        </w:rPr>
        <w:t xml:space="preserve"> </w:t>
      </w:r>
    </w:p>
    <w:p w14:paraId="27400AA3" w14:textId="740BE68A" w:rsidR="00D732F8" w:rsidRPr="00D73819" w:rsidRDefault="00D732F8" w:rsidP="003620C5">
      <w:pPr>
        <w:jc w:val="both"/>
        <w:rPr>
          <w:rFonts w:ascii="Verdana" w:hAnsi="Verdana"/>
          <w:sz w:val="22"/>
          <w:szCs w:val="22"/>
        </w:rPr>
      </w:pPr>
      <w:r w:rsidRPr="00D73819">
        <w:rPr>
          <w:rFonts w:ascii="Verdana" w:hAnsi="Verdana"/>
          <w:sz w:val="22"/>
          <w:szCs w:val="22"/>
        </w:rPr>
        <w:t>In questa logica si collocano, da un lato, l’art. 53, comma 5-bis, CCII, che consente di confermare la sentenza di omologazione quando l’interesse generale dei creditori e dei lavoratori prevalga sul pregiudizio del reclamante, lasciando a quest’ultimo il solo rimedio risarcitorio; dall’altro lato, l’art. 116 CCII, che, in materia di trasformazione, fusione e scissione previste dal piano, sancisce l’irreversibilità degli effetti dopo l’omologazione, salvo il risarcimento del danno eventualmente cagionato dall’invalidità delle deliberazioni.</w:t>
      </w:r>
    </w:p>
    <w:p w14:paraId="5EE4DF63" w14:textId="77777777" w:rsidR="00D732F8" w:rsidRPr="00D73819" w:rsidRDefault="00D732F8" w:rsidP="003620C5">
      <w:pPr>
        <w:jc w:val="both"/>
        <w:rPr>
          <w:rFonts w:ascii="Verdana" w:hAnsi="Verdana"/>
          <w:sz w:val="22"/>
          <w:szCs w:val="22"/>
        </w:rPr>
      </w:pPr>
      <w:r w:rsidRPr="00D73819">
        <w:rPr>
          <w:rFonts w:ascii="Verdana" w:hAnsi="Verdana"/>
          <w:sz w:val="22"/>
          <w:szCs w:val="22"/>
        </w:rPr>
        <w:lastRenderedPageBreak/>
        <w:t>La conseguenza sistematica è rilevante: la tutela dei soci non è eliminata, ma è rimodellata in modo da non compromettere la stabilità della procedura e l’efficacia del piano. La crisi impone, dunque, una graduazione dei rimedi. Il socio conserva strumenti di reazione, ma questi strumenti devono essere compatibili con la continuità aziendale, con la tutela dei creditori e con l’esigenza di evitare che il piano sia paralizzato da iniziative individuali.</w:t>
      </w:r>
    </w:p>
    <w:p w14:paraId="302BC353" w14:textId="77777777" w:rsidR="00FB3EA5" w:rsidRDefault="00FB3EA5" w:rsidP="00D732F8">
      <w:pPr>
        <w:rPr>
          <w:rFonts w:ascii="Verdana" w:hAnsi="Verdana"/>
          <w:sz w:val="22"/>
          <w:szCs w:val="22"/>
          <w:u w:val="single"/>
        </w:rPr>
      </w:pPr>
    </w:p>
    <w:p w14:paraId="0D5AC072" w14:textId="748F1529" w:rsidR="00D732F8" w:rsidRPr="00D73819" w:rsidRDefault="00D732F8" w:rsidP="00D732F8">
      <w:pPr>
        <w:rPr>
          <w:rFonts w:ascii="Verdana" w:hAnsi="Verdana"/>
          <w:sz w:val="22"/>
          <w:szCs w:val="22"/>
          <w:u w:val="single"/>
        </w:rPr>
      </w:pPr>
      <w:r w:rsidRPr="00D73819">
        <w:rPr>
          <w:rFonts w:ascii="Verdana" w:hAnsi="Verdana"/>
          <w:sz w:val="22"/>
          <w:szCs w:val="22"/>
          <w:u w:val="single"/>
        </w:rPr>
        <w:t>I soci come parti interessate: informazione, proposte concorrenti e classamento</w:t>
      </w:r>
      <w:r w:rsidR="00BE7284" w:rsidRPr="00D73819">
        <w:rPr>
          <w:rFonts w:ascii="Verdana" w:hAnsi="Verdana"/>
          <w:sz w:val="22"/>
          <w:szCs w:val="22"/>
          <w:u w:val="single"/>
        </w:rPr>
        <w:t>.</w:t>
      </w:r>
    </w:p>
    <w:p w14:paraId="52ED3D8C" w14:textId="77777777" w:rsidR="00FB3EA5" w:rsidRDefault="00FB3EA5" w:rsidP="006F7359">
      <w:pPr>
        <w:jc w:val="both"/>
        <w:rPr>
          <w:rFonts w:ascii="Verdana" w:hAnsi="Verdana"/>
          <w:sz w:val="22"/>
          <w:szCs w:val="22"/>
        </w:rPr>
      </w:pPr>
    </w:p>
    <w:p w14:paraId="268F89F7" w14:textId="19F1238B" w:rsidR="00BE7284" w:rsidRPr="00D73819" w:rsidRDefault="00D732F8" w:rsidP="006F7359">
      <w:pPr>
        <w:jc w:val="both"/>
        <w:rPr>
          <w:rFonts w:ascii="Verdana" w:hAnsi="Verdana"/>
          <w:sz w:val="22"/>
          <w:szCs w:val="22"/>
        </w:rPr>
      </w:pPr>
      <w:r w:rsidRPr="00D73819">
        <w:rPr>
          <w:rFonts w:ascii="Verdana" w:hAnsi="Verdana"/>
          <w:sz w:val="22"/>
          <w:szCs w:val="22"/>
        </w:rPr>
        <w:t xml:space="preserve">Se i soci arretrano, non per questo diventano irrilevanti. </w:t>
      </w:r>
    </w:p>
    <w:p w14:paraId="5789BC5C" w14:textId="77777777" w:rsidR="00BE7284" w:rsidRPr="00D73819" w:rsidRDefault="00D732F8" w:rsidP="006F7359">
      <w:pPr>
        <w:jc w:val="both"/>
        <w:rPr>
          <w:rFonts w:ascii="Verdana" w:hAnsi="Verdana"/>
          <w:sz w:val="22"/>
          <w:szCs w:val="22"/>
        </w:rPr>
      </w:pPr>
      <w:r w:rsidRPr="00FB3EA5">
        <w:rPr>
          <w:rFonts w:ascii="Verdana" w:hAnsi="Verdana"/>
          <w:sz w:val="22"/>
          <w:szCs w:val="22"/>
          <w:u w:val="single"/>
        </w:rPr>
        <w:t>Il Codice della crisi attribuisce loro una posizione diversa, più vicina a quella di parti interessate dal procedimento</w:t>
      </w:r>
      <w:r w:rsidRPr="00D73819">
        <w:rPr>
          <w:rFonts w:ascii="Verdana" w:hAnsi="Verdana"/>
          <w:sz w:val="22"/>
          <w:szCs w:val="22"/>
        </w:rPr>
        <w:t xml:space="preserve">. </w:t>
      </w:r>
    </w:p>
    <w:p w14:paraId="6D9582F8" w14:textId="6BAC9980" w:rsidR="00D732F8" w:rsidRPr="00D73819" w:rsidRDefault="00D732F8" w:rsidP="006F7359">
      <w:pPr>
        <w:jc w:val="both"/>
        <w:rPr>
          <w:rFonts w:ascii="Verdana" w:hAnsi="Verdana"/>
          <w:sz w:val="22"/>
          <w:szCs w:val="22"/>
        </w:rPr>
      </w:pPr>
      <w:r w:rsidRPr="00D73819">
        <w:rPr>
          <w:rFonts w:ascii="Verdana" w:hAnsi="Verdana"/>
          <w:sz w:val="22"/>
          <w:szCs w:val="22"/>
        </w:rPr>
        <w:t>L’art. 120-bis, comma 3, prevede un flusso informativo a favore dei soci dopo la decisione di accesso allo strumento. Il dato è significativo: l’informazione arriva dopo la decisione, non prima; ciò conferma l’asimmetria tra organo gestorio e compagine sociale.</w:t>
      </w:r>
    </w:p>
    <w:p w14:paraId="4325F775" w14:textId="77777777" w:rsidR="00FB3EA5" w:rsidRDefault="00D732F8" w:rsidP="00FC010B">
      <w:pPr>
        <w:jc w:val="both"/>
        <w:rPr>
          <w:rFonts w:ascii="Verdana" w:hAnsi="Verdana"/>
          <w:sz w:val="22"/>
          <w:szCs w:val="22"/>
        </w:rPr>
      </w:pPr>
      <w:r w:rsidRPr="00D73819">
        <w:rPr>
          <w:rFonts w:ascii="Verdana" w:hAnsi="Verdana"/>
          <w:sz w:val="22"/>
          <w:szCs w:val="22"/>
        </w:rPr>
        <w:t xml:space="preserve">Il legislatore, tuttavia, non lascia i soci senza strumenti. </w:t>
      </w:r>
    </w:p>
    <w:p w14:paraId="1BCE4EB8" w14:textId="725F0A95" w:rsidR="00D732F8" w:rsidRPr="00D73819" w:rsidRDefault="00D732F8" w:rsidP="00FC010B">
      <w:pPr>
        <w:jc w:val="both"/>
        <w:rPr>
          <w:rFonts w:ascii="Verdana" w:hAnsi="Verdana"/>
          <w:sz w:val="22"/>
          <w:szCs w:val="22"/>
        </w:rPr>
      </w:pPr>
      <w:r w:rsidRPr="00D73819">
        <w:rPr>
          <w:rFonts w:ascii="Verdana" w:hAnsi="Verdana"/>
          <w:sz w:val="22"/>
          <w:szCs w:val="22"/>
        </w:rPr>
        <w:t xml:space="preserve">Coloro che rappresentano almeno </w:t>
      </w:r>
      <w:r w:rsidRPr="00FB3EA5">
        <w:rPr>
          <w:rFonts w:ascii="Verdana" w:hAnsi="Verdana"/>
          <w:sz w:val="22"/>
          <w:szCs w:val="22"/>
          <w:u w:val="single"/>
        </w:rPr>
        <w:t>il dieci per cento del capitale sociale possono presentare proposte concorrenti.</w:t>
      </w:r>
      <w:r w:rsidRPr="00D73819">
        <w:rPr>
          <w:rFonts w:ascii="Verdana" w:hAnsi="Verdana"/>
          <w:sz w:val="22"/>
          <w:szCs w:val="22"/>
        </w:rPr>
        <w:t xml:space="preserve"> Questa previsione non restituisce ai soci la decisione sull’accesso o sul piano, ma consente loro di competere sul terreno della regolazione della crisi, proponendo una soluzione alternativa potenzialmente più vantaggiosa.</w:t>
      </w:r>
    </w:p>
    <w:p w14:paraId="7E0AEAF8" w14:textId="77777777" w:rsidR="00FB3EA5" w:rsidRDefault="00D732F8" w:rsidP="00FC010B">
      <w:pPr>
        <w:jc w:val="both"/>
        <w:rPr>
          <w:rFonts w:ascii="Verdana" w:hAnsi="Verdana"/>
          <w:sz w:val="22"/>
          <w:szCs w:val="22"/>
        </w:rPr>
      </w:pPr>
      <w:r w:rsidRPr="00FB3EA5">
        <w:rPr>
          <w:rFonts w:ascii="Verdana" w:hAnsi="Verdana"/>
          <w:sz w:val="22"/>
          <w:szCs w:val="22"/>
          <w:u w:val="single"/>
        </w:rPr>
        <w:t>Ancora più rilevante è l’art. 120-ter CCII, che introduce il classamento dei soci e dei titolari di strumenti finanziari</w:t>
      </w:r>
      <w:r w:rsidRPr="00D73819">
        <w:rPr>
          <w:rFonts w:ascii="Verdana" w:hAnsi="Verdana"/>
          <w:sz w:val="22"/>
          <w:szCs w:val="22"/>
        </w:rPr>
        <w:t xml:space="preserve">. </w:t>
      </w:r>
    </w:p>
    <w:p w14:paraId="54AEAE9A" w14:textId="22930A9D" w:rsidR="00D732F8" w:rsidRPr="00D73819" w:rsidRDefault="00D732F8" w:rsidP="00FC010B">
      <w:pPr>
        <w:jc w:val="both"/>
        <w:rPr>
          <w:rFonts w:ascii="Verdana" w:hAnsi="Verdana"/>
          <w:sz w:val="22"/>
          <w:szCs w:val="22"/>
        </w:rPr>
      </w:pPr>
      <w:r w:rsidRPr="00D73819">
        <w:rPr>
          <w:rFonts w:ascii="Verdana" w:hAnsi="Verdana"/>
          <w:sz w:val="22"/>
          <w:szCs w:val="22"/>
        </w:rPr>
        <w:t>Il classamento può essere facoltativo quando vi siano soci con diritti diversi, ma diventa necessario quando il piano preveda modificazioni che incidono direttamente sui diritti di partecipazione dei soci e, in ogni caso, per le società che fanno ricorso al mercato del capitale di rischio.</w:t>
      </w:r>
    </w:p>
    <w:p w14:paraId="4C6D27E8" w14:textId="624096F6" w:rsidR="00D732F8" w:rsidRPr="00D73819" w:rsidRDefault="00D732F8" w:rsidP="00FC010B">
      <w:pPr>
        <w:jc w:val="both"/>
        <w:rPr>
          <w:rFonts w:ascii="Verdana" w:hAnsi="Verdana"/>
          <w:sz w:val="22"/>
          <w:szCs w:val="22"/>
        </w:rPr>
      </w:pPr>
      <w:r w:rsidRPr="00FB3EA5">
        <w:rPr>
          <w:rFonts w:ascii="Verdana" w:hAnsi="Verdana"/>
          <w:sz w:val="22"/>
          <w:szCs w:val="22"/>
          <w:u w:val="single"/>
        </w:rPr>
        <w:t xml:space="preserve">Il classamento segna il passaggio più evidente </w:t>
      </w:r>
      <w:r w:rsidR="00FC010B" w:rsidRPr="00FB3EA5">
        <w:rPr>
          <w:rFonts w:ascii="Verdana" w:hAnsi="Verdana"/>
          <w:sz w:val="22"/>
          <w:szCs w:val="22"/>
          <w:u w:val="single"/>
        </w:rPr>
        <w:t>dalla prospettiva</w:t>
      </w:r>
      <w:r w:rsidRPr="00FB3EA5">
        <w:rPr>
          <w:rFonts w:ascii="Verdana" w:hAnsi="Verdana"/>
          <w:sz w:val="22"/>
          <w:szCs w:val="22"/>
          <w:u w:val="single"/>
        </w:rPr>
        <w:t xml:space="preserve"> societari</w:t>
      </w:r>
      <w:r w:rsidR="00FC010B" w:rsidRPr="00FB3EA5">
        <w:rPr>
          <w:rFonts w:ascii="Verdana" w:hAnsi="Verdana"/>
          <w:sz w:val="22"/>
          <w:szCs w:val="22"/>
          <w:u w:val="single"/>
        </w:rPr>
        <w:t>a</w:t>
      </w:r>
      <w:r w:rsidRPr="00FB3EA5">
        <w:rPr>
          <w:rFonts w:ascii="Verdana" w:hAnsi="Verdana"/>
          <w:sz w:val="22"/>
          <w:szCs w:val="22"/>
          <w:u w:val="single"/>
        </w:rPr>
        <w:t xml:space="preserve"> a</w:t>
      </w:r>
      <w:r w:rsidR="00FC010B" w:rsidRPr="00FB3EA5">
        <w:rPr>
          <w:rFonts w:ascii="Verdana" w:hAnsi="Verdana"/>
          <w:sz w:val="22"/>
          <w:szCs w:val="22"/>
          <w:u w:val="single"/>
        </w:rPr>
        <w:t xml:space="preserve"> quella </w:t>
      </w:r>
      <w:r w:rsidRPr="00FB3EA5">
        <w:rPr>
          <w:rFonts w:ascii="Verdana" w:hAnsi="Verdana"/>
          <w:sz w:val="22"/>
          <w:szCs w:val="22"/>
          <w:u w:val="single"/>
        </w:rPr>
        <w:t>concorsuale</w:t>
      </w:r>
      <w:r w:rsidRPr="00D73819">
        <w:rPr>
          <w:rFonts w:ascii="Verdana" w:hAnsi="Verdana"/>
          <w:sz w:val="22"/>
          <w:szCs w:val="22"/>
        </w:rPr>
        <w:t xml:space="preserve">. Il socio vota o si colloca non più solo come membro dell’assemblea, ma come componente di una classe interessata dalla ristrutturazione. La sua posizione viene così finanziarizzata: egli è trattato, almeno in parte, come un portatore di valore esposto alla crisi, in concorrenza con gli altri </w:t>
      </w:r>
      <w:r w:rsidRPr="00FB3EA5">
        <w:rPr>
          <w:rFonts w:ascii="Verdana" w:hAnsi="Verdana"/>
          <w:i/>
          <w:iCs/>
          <w:sz w:val="22"/>
          <w:szCs w:val="22"/>
        </w:rPr>
        <w:t>stakeholder</w:t>
      </w:r>
      <w:r w:rsidR="00FB3EA5">
        <w:rPr>
          <w:rFonts w:ascii="Verdana" w:hAnsi="Verdana"/>
          <w:i/>
          <w:iCs/>
          <w:sz w:val="22"/>
          <w:szCs w:val="22"/>
        </w:rPr>
        <w:t>s</w:t>
      </w:r>
      <w:r w:rsidRPr="00FB3EA5">
        <w:rPr>
          <w:rFonts w:ascii="Verdana" w:hAnsi="Verdana"/>
          <w:i/>
          <w:iCs/>
          <w:sz w:val="22"/>
          <w:szCs w:val="22"/>
        </w:rPr>
        <w:t>.</w:t>
      </w:r>
    </w:p>
    <w:p w14:paraId="52B66CBB" w14:textId="77777777" w:rsidR="00332ACF" w:rsidRPr="00D73819" w:rsidRDefault="00332ACF" w:rsidP="00332ACF">
      <w:pPr>
        <w:rPr>
          <w:rFonts w:ascii="Verdana" w:hAnsi="Verdana"/>
          <w:sz w:val="22"/>
          <w:szCs w:val="22"/>
        </w:rPr>
      </w:pPr>
    </w:p>
    <w:p w14:paraId="0A54EF9C" w14:textId="154AC9D6" w:rsidR="00332ACF" w:rsidRPr="00D73819" w:rsidRDefault="003215C1" w:rsidP="00C8636D">
      <w:pPr>
        <w:jc w:val="both"/>
        <w:rPr>
          <w:rFonts w:ascii="Verdana" w:hAnsi="Verdana"/>
          <w:b/>
          <w:bCs/>
          <w:sz w:val="22"/>
          <w:szCs w:val="22"/>
        </w:rPr>
      </w:pPr>
      <w:r w:rsidRPr="00D73819">
        <w:rPr>
          <w:rFonts w:ascii="Verdana" w:hAnsi="Verdana"/>
          <w:b/>
          <w:bCs/>
          <w:sz w:val="22"/>
          <w:szCs w:val="22"/>
        </w:rPr>
        <w:t>L</w:t>
      </w:r>
      <w:r w:rsidR="00332ACF" w:rsidRPr="00D73819">
        <w:rPr>
          <w:rFonts w:ascii="Verdana" w:hAnsi="Verdana"/>
          <w:b/>
          <w:bCs/>
          <w:sz w:val="22"/>
          <w:szCs w:val="22"/>
        </w:rPr>
        <w:t>’art. 120-quater CCII</w:t>
      </w:r>
      <w:r w:rsidRPr="00D73819">
        <w:rPr>
          <w:rFonts w:ascii="Verdana" w:hAnsi="Verdana"/>
          <w:b/>
          <w:bCs/>
          <w:sz w:val="22"/>
          <w:szCs w:val="22"/>
        </w:rPr>
        <w:t xml:space="preserve"> - della omologazione del concordato con attribuzione ai soci</w:t>
      </w:r>
    </w:p>
    <w:p w14:paraId="01CA73BB" w14:textId="77777777" w:rsidR="00773871" w:rsidRPr="00D73819" w:rsidRDefault="00773871" w:rsidP="00FC010B">
      <w:pPr>
        <w:jc w:val="both"/>
        <w:rPr>
          <w:rFonts w:ascii="Verdana" w:hAnsi="Verdana"/>
          <w:sz w:val="22"/>
          <w:szCs w:val="22"/>
        </w:rPr>
      </w:pPr>
    </w:p>
    <w:p w14:paraId="2836848D" w14:textId="4F1E95E3" w:rsidR="009D2802" w:rsidRPr="00D73819" w:rsidRDefault="003C1F8F" w:rsidP="00FC010B">
      <w:pPr>
        <w:jc w:val="both"/>
        <w:rPr>
          <w:rFonts w:ascii="Verdana" w:hAnsi="Verdana"/>
          <w:sz w:val="22"/>
          <w:szCs w:val="22"/>
        </w:rPr>
      </w:pPr>
      <w:r w:rsidRPr="00D73819">
        <w:rPr>
          <w:rFonts w:ascii="Verdana" w:hAnsi="Verdana"/>
          <w:sz w:val="22"/>
          <w:szCs w:val="22"/>
        </w:rPr>
        <w:t xml:space="preserve">Il quadro </w:t>
      </w:r>
      <w:r w:rsidR="00FB22C8" w:rsidRPr="00D73819">
        <w:rPr>
          <w:rFonts w:ascii="Verdana" w:hAnsi="Verdana"/>
          <w:sz w:val="22"/>
          <w:szCs w:val="22"/>
        </w:rPr>
        <w:t xml:space="preserve">ora tratteggiato consente di </w:t>
      </w:r>
      <w:r w:rsidR="003C6B9F" w:rsidRPr="00D73819">
        <w:rPr>
          <w:rFonts w:ascii="Verdana" w:hAnsi="Verdana"/>
          <w:sz w:val="22"/>
          <w:szCs w:val="22"/>
        </w:rPr>
        <w:t>inserire</w:t>
      </w:r>
      <w:r w:rsidR="007D3C43" w:rsidRPr="00D73819">
        <w:rPr>
          <w:rFonts w:ascii="Verdana" w:hAnsi="Verdana"/>
          <w:sz w:val="22"/>
          <w:szCs w:val="22"/>
        </w:rPr>
        <w:t xml:space="preserve"> in una prospettiva di sistema il tema</w:t>
      </w:r>
      <w:r w:rsidR="00C3461C" w:rsidRPr="00D73819">
        <w:rPr>
          <w:rFonts w:ascii="Verdana" w:hAnsi="Verdana"/>
          <w:sz w:val="22"/>
          <w:szCs w:val="22"/>
        </w:rPr>
        <w:t xml:space="preserve">, </w:t>
      </w:r>
      <w:r w:rsidR="00743091" w:rsidRPr="00D73819">
        <w:rPr>
          <w:rFonts w:ascii="Verdana" w:hAnsi="Verdana"/>
          <w:sz w:val="22"/>
          <w:szCs w:val="22"/>
        </w:rPr>
        <w:t>centrale</w:t>
      </w:r>
      <w:r w:rsidR="00C3461C" w:rsidRPr="00D73819">
        <w:rPr>
          <w:rFonts w:ascii="Verdana" w:hAnsi="Verdana"/>
          <w:sz w:val="22"/>
          <w:szCs w:val="22"/>
        </w:rPr>
        <w:t>,</w:t>
      </w:r>
      <w:r w:rsidR="007D3C43" w:rsidRPr="00D73819">
        <w:rPr>
          <w:rFonts w:ascii="Verdana" w:hAnsi="Verdana"/>
          <w:sz w:val="22"/>
          <w:szCs w:val="22"/>
        </w:rPr>
        <w:t xml:space="preserve"> della </w:t>
      </w:r>
      <w:r w:rsidR="005B62DB" w:rsidRPr="00D73819">
        <w:rPr>
          <w:rFonts w:ascii="Verdana" w:hAnsi="Verdana"/>
          <w:sz w:val="22"/>
          <w:szCs w:val="22"/>
        </w:rPr>
        <w:t xml:space="preserve">omologazione del concordato con attribuzione ai soci, disciplinato </w:t>
      </w:r>
      <w:r w:rsidR="00332ACF" w:rsidRPr="00D73819">
        <w:rPr>
          <w:rFonts w:ascii="Verdana" w:hAnsi="Verdana"/>
          <w:sz w:val="22"/>
          <w:szCs w:val="22"/>
        </w:rPr>
        <w:t xml:space="preserve">dall’art. </w:t>
      </w:r>
      <w:r w:rsidR="003C6B9F" w:rsidRPr="00D73819">
        <w:rPr>
          <w:rFonts w:ascii="Verdana" w:hAnsi="Verdana"/>
          <w:sz w:val="22"/>
          <w:szCs w:val="22"/>
        </w:rPr>
        <w:t>120-quater CCII.</w:t>
      </w:r>
    </w:p>
    <w:p w14:paraId="44844161" w14:textId="20CCF058" w:rsidR="002B2A29" w:rsidRPr="009D2777" w:rsidRDefault="002B2A29" w:rsidP="00FC010B">
      <w:pPr>
        <w:jc w:val="both"/>
        <w:rPr>
          <w:rFonts w:ascii="Verdana" w:hAnsi="Verdana"/>
          <w:sz w:val="22"/>
          <w:szCs w:val="22"/>
          <w:u w:val="single"/>
        </w:rPr>
      </w:pPr>
      <w:r w:rsidRPr="009D2777">
        <w:rPr>
          <w:rFonts w:ascii="Verdana" w:hAnsi="Verdana"/>
          <w:sz w:val="22"/>
          <w:szCs w:val="22"/>
          <w:u w:val="single"/>
        </w:rPr>
        <w:t>L’intento dell’intervento normativo, ispirato alla Direttiva (UE) 2019/1023, mira ad assicurare un’equa distribuzione del valore aziendale complessivo tra le diverse classi di creditori e i portatori di capitale e di strumenti finanziari assimilabili.</w:t>
      </w:r>
    </w:p>
    <w:p w14:paraId="6B7F361E" w14:textId="19148FA9" w:rsidR="004D6EB9" w:rsidRPr="00D73819" w:rsidRDefault="00592371" w:rsidP="004D6EB9">
      <w:pPr>
        <w:autoSpaceDE w:val="0"/>
        <w:autoSpaceDN w:val="0"/>
        <w:adjustRightInd w:val="0"/>
        <w:jc w:val="both"/>
        <w:rPr>
          <w:rFonts w:ascii="Verdana" w:hAnsi="Verdana" w:cs="ƒf[Ó"/>
          <w:kern w:val="0"/>
          <w:sz w:val="22"/>
          <w:szCs w:val="22"/>
        </w:rPr>
      </w:pPr>
      <w:r w:rsidRPr="00D73819">
        <w:rPr>
          <w:rFonts w:ascii="Verdana" w:hAnsi="Verdana" w:cs="ƒf[Ó"/>
          <w:kern w:val="0"/>
          <w:sz w:val="22"/>
          <w:szCs w:val="22"/>
        </w:rPr>
        <w:t xml:space="preserve">Tuttavia, </w:t>
      </w:r>
      <w:r w:rsidRPr="009D2777">
        <w:rPr>
          <w:rFonts w:ascii="Verdana" w:hAnsi="Verdana" w:cs="ƒf[Ó"/>
          <w:kern w:val="0"/>
          <w:sz w:val="22"/>
          <w:szCs w:val="22"/>
          <w:u w:val="single"/>
        </w:rPr>
        <w:t>la</w:t>
      </w:r>
      <w:r w:rsidR="004D6EB9" w:rsidRPr="009D2777">
        <w:rPr>
          <w:rFonts w:ascii="Verdana" w:hAnsi="Verdana" w:cs="ƒf[Ó"/>
          <w:kern w:val="0"/>
          <w:sz w:val="22"/>
          <w:szCs w:val="22"/>
          <w:u w:val="single"/>
        </w:rPr>
        <w:t xml:space="preserve"> norma </w:t>
      </w:r>
      <w:r w:rsidRPr="009D2777">
        <w:rPr>
          <w:rFonts w:ascii="Verdana" w:hAnsi="Verdana" w:cs="ƒf[Ó"/>
          <w:kern w:val="0"/>
          <w:sz w:val="22"/>
          <w:szCs w:val="22"/>
          <w:u w:val="single"/>
        </w:rPr>
        <w:t>è</w:t>
      </w:r>
      <w:r w:rsidR="004D6EB9" w:rsidRPr="009D2777">
        <w:rPr>
          <w:rFonts w:ascii="Verdana" w:hAnsi="Verdana" w:cs="ƒf[Ó"/>
          <w:kern w:val="0"/>
          <w:sz w:val="22"/>
          <w:szCs w:val="22"/>
          <w:u w:val="single"/>
        </w:rPr>
        <w:t xml:space="preserve"> di applicazione incerta, complessa e poco efficiente</w:t>
      </w:r>
      <w:r w:rsidR="004D6EB9" w:rsidRPr="00D73819">
        <w:rPr>
          <w:rFonts w:ascii="Verdana" w:hAnsi="Verdana" w:cs="ƒf[Ó"/>
          <w:kern w:val="0"/>
          <w:sz w:val="22"/>
          <w:szCs w:val="22"/>
        </w:rPr>
        <w:t>, tale da rendere meno appetibile il concordato preventivo, soprattutto nelle ipotesi di continuità aziendale diretta in cui i soci anteriori alla domanda conservino, anche solo in parte, la propria partecipazione nella società.</w:t>
      </w:r>
    </w:p>
    <w:p w14:paraId="6FAB98C1" w14:textId="77777777" w:rsidR="00602B57" w:rsidRPr="00D73819" w:rsidRDefault="00602B57">
      <w:pPr>
        <w:jc w:val="both"/>
        <w:rPr>
          <w:rFonts w:ascii="Verdana" w:hAnsi="Verdana"/>
          <w:sz w:val="22"/>
          <w:szCs w:val="22"/>
        </w:rPr>
      </w:pPr>
      <w:r w:rsidRPr="00D73819">
        <w:rPr>
          <w:rFonts w:ascii="Verdana" w:hAnsi="Verdana" w:cs="ƒf[Ó"/>
          <w:kern w:val="0"/>
          <w:sz w:val="22"/>
          <w:szCs w:val="22"/>
        </w:rPr>
        <w:t xml:space="preserve">Ancora, è stato osservato che il concordato con attribuzioni ai soci </w:t>
      </w:r>
      <w:r w:rsidRPr="00D73819">
        <w:rPr>
          <w:rFonts w:ascii="Verdana" w:hAnsi="Verdana" w:cs="ƒf[Ó"/>
          <w:kern w:val="0"/>
          <w:sz w:val="22"/>
          <w:szCs w:val="22"/>
          <w:u w:val="single"/>
        </w:rPr>
        <w:t>resta in una condizione di incertezza fino al momento dell’omologazione:</w:t>
      </w:r>
      <w:r w:rsidRPr="00D73819">
        <w:rPr>
          <w:rFonts w:ascii="Verdana" w:hAnsi="Verdana" w:cs="ƒf[Ó"/>
          <w:kern w:val="0"/>
          <w:sz w:val="22"/>
          <w:szCs w:val="22"/>
        </w:rPr>
        <w:t xml:space="preserve"> può risultare praticabile oppure essere destinato al fallimento, ma la sua sorte diviene chiara solo quando ormai il procedimento è giunto alla fase conclusiva e, per questo</w:t>
      </w:r>
      <w:r w:rsidRPr="00D73819">
        <w:rPr>
          <w:rFonts w:ascii="Verdana" w:hAnsi="Verdana"/>
          <w:sz w:val="22"/>
          <w:szCs w:val="22"/>
        </w:rPr>
        <w:t>,</w:t>
      </w:r>
      <w:r w:rsidRPr="00D73819">
        <w:rPr>
          <w:rFonts w:ascii="Verdana" w:hAnsi="Verdana" w:cs="ƒf[Ó"/>
          <w:kern w:val="0"/>
          <w:sz w:val="22"/>
          <w:szCs w:val="22"/>
        </w:rPr>
        <w:t xml:space="preserve"> è stato argutamente paragonato al gatto di Schrödinger. È quasi superfluo, poi, rilevare che l’incertezza dell’esito scoraggia investitori, soci, creditori e, in ultima analisi, le stesse operazioni di risanamento.</w:t>
      </w:r>
    </w:p>
    <w:p w14:paraId="619833B2" w14:textId="77777777" w:rsidR="00602B57" w:rsidRPr="00D73819" w:rsidRDefault="00602B57">
      <w:pPr>
        <w:jc w:val="both"/>
        <w:rPr>
          <w:rFonts w:ascii="Verdana" w:hAnsi="Verdana"/>
          <w:sz w:val="22"/>
          <w:szCs w:val="22"/>
        </w:rPr>
      </w:pPr>
      <w:r w:rsidRPr="00D73819">
        <w:rPr>
          <w:rFonts w:ascii="Verdana" w:hAnsi="Verdana"/>
          <w:sz w:val="22"/>
          <w:szCs w:val="22"/>
        </w:rPr>
        <w:lastRenderedPageBreak/>
        <w:t>E dunque, per quanto l’art. 120-quater CCII non introduca condizioni all’ammissibilità del concordato, limitandosi a fissare criteri per l’omologazione in presenza di dissenso anche solo da parte di una classe di creditori, la scelta di prevedere, anche implicitamente, nel piano l’attribuzione – magari residuale – di valore in favore dei soci preesistenti espone la proposta a rischi di rigetto non trascurabili, con potenziali effetti irreversibili sul percorso di risanamento.</w:t>
      </w:r>
    </w:p>
    <w:p w14:paraId="6B4C7C23" w14:textId="77777777" w:rsidR="00592371" w:rsidRPr="00D73819" w:rsidRDefault="00592371" w:rsidP="004D6EB9">
      <w:pPr>
        <w:autoSpaceDE w:val="0"/>
        <w:autoSpaceDN w:val="0"/>
        <w:adjustRightInd w:val="0"/>
        <w:jc w:val="both"/>
        <w:rPr>
          <w:rFonts w:ascii="Verdana" w:hAnsi="Verdana" w:cs="ƒf[Ó"/>
          <w:kern w:val="0"/>
          <w:sz w:val="22"/>
          <w:szCs w:val="22"/>
        </w:rPr>
      </w:pPr>
    </w:p>
    <w:p w14:paraId="043F356A" w14:textId="17530E25" w:rsidR="009B6226" w:rsidRPr="00D73819" w:rsidRDefault="00F8047C" w:rsidP="000439BD">
      <w:pPr>
        <w:autoSpaceDE w:val="0"/>
        <w:autoSpaceDN w:val="0"/>
        <w:adjustRightInd w:val="0"/>
        <w:jc w:val="both"/>
        <w:rPr>
          <w:rFonts w:ascii="Verdana" w:hAnsi="Verdana" w:cs="ƒf[Ó"/>
          <w:color w:val="000000"/>
          <w:kern w:val="0"/>
          <w:sz w:val="22"/>
          <w:szCs w:val="22"/>
          <w:u w:val="single"/>
        </w:rPr>
      </w:pPr>
      <w:r w:rsidRPr="00D73819">
        <w:rPr>
          <w:rFonts w:ascii="Verdana" w:hAnsi="Verdana" w:cs="ƒf[Ó"/>
          <w:color w:val="000000"/>
          <w:kern w:val="0"/>
          <w:sz w:val="22"/>
          <w:szCs w:val="22"/>
          <w:u w:val="single"/>
        </w:rPr>
        <w:t>T</w:t>
      </w:r>
      <w:r w:rsidR="00725DE9" w:rsidRPr="00D73819">
        <w:rPr>
          <w:rFonts w:ascii="Verdana" w:hAnsi="Verdana" w:cs="ƒf[Ó"/>
          <w:color w:val="000000"/>
          <w:kern w:val="0"/>
          <w:sz w:val="22"/>
          <w:szCs w:val="22"/>
          <w:u w:val="single"/>
        </w:rPr>
        <w:t xml:space="preserve">esto dell’articolo 120-quater, </w:t>
      </w:r>
      <w:r w:rsidRPr="00D73819">
        <w:rPr>
          <w:rFonts w:ascii="Verdana" w:hAnsi="Verdana" w:cs="ƒf[Ó"/>
          <w:color w:val="000000"/>
          <w:kern w:val="0"/>
          <w:sz w:val="22"/>
          <w:szCs w:val="22"/>
          <w:u w:val="single"/>
        </w:rPr>
        <w:t xml:space="preserve">con </w:t>
      </w:r>
      <w:r w:rsidR="009B6226" w:rsidRPr="00D73819">
        <w:rPr>
          <w:rFonts w:ascii="Verdana" w:hAnsi="Verdana" w:cs="ƒf[Ó"/>
          <w:color w:val="000000"/>
          <w:kern w:val="0"/>
          <w:sz w:val="22"/>
          <w:szCs w:val="22"/>
          <w:u w:val="single"/>
        </w:rPr>
        <w:t xml:space="preserve">evidenziate </w:t>
      </w:r>
      <w:r w:rsidR="000439BD" w:rsidRPr="00D73819">
        <w:rPr>
          <w:rFonts w:ascii="Verdana" w:hAnsi="Verdana" w:cs="ƒf[Ó"/>
          <w:color w:val="000000"/>
          <w:kern w:val="0"/>
          <w:sz w:val="22"/>
          <w:szCs w:val="22"/>
          <w:u w:val="single"/>
        </w:rPr>
        <w:t xml:space="preserve">in rosso </w:t>
      </w:r>
      <w:r w:rsidR="009B6226" w:rsidRPr="00D73819">
        <w:rPr>
          <w:rFonts w:ascii="Verdana" w:hAnsi="Verdana" w:cs="ƒf[Ó"/>
          <w:color w:val="000000"/>
          <w:kern w:val="0"/>
          <w:sz w:val="22"/>
          <w:szCs w:val="22"/>
          <w:u w:val="single"/>
        </w:rPr>
        <w:t>le modifiche apportate dal Correttivo-ter</w:t>
      </w:r>
    </w:p>
    <w:p w14:paraId="3C1B62BD" w14:textId="77777777" w:rsidR="009B6226" w:rsidRPr="00D73819" w:rsidRDefault="009B6226" w:rsidP="003F5C9D">
      <w:pPr>
        <w:autoSpaceDE w:val="0"/>
        <w:autoSpaceDN w:val="0"/>
        <w:adjustRightInd w:val="0"/>
        <w:rPr>
          <w:rFonts w:ascii="Verdana" w:hAnsi="Verdana" w:cs="ƒf[Ó"/>
          <w:color w:val="000000"/>
          <w:kern w:val="0"/>
          <w:sz w:val="22"/>
          <w:szCs w:val="22"/>
        </w:rPr>
      </w:pPr>
    </w:p>
    <w:p w14:paraId="3B5B8EEC" w14:textId="3A014055" w:rsidR="0050714E" w:rsidRPr="00D73819" w:rsidRDefault="0050714E" w:rsidP="0050714E">
      <w:pPr>
        <w:autoSpaceDE w:val="0"/>
        <w:autoSpaceDN w:val="0"/>
        <w:adjustRightInd w:val="0"/>
        <w:jc w:val="both"/>
        <w:rPr>
          <w:rFonts w:ascii="Verdana" w:hAnsi="Verdana" w:cs="ƒf[Ó"/>
          <w:i/>
          <w:iCs/>
          <w:color w:val="000000"/>
          <w:kern w:val="0"/>
          <w:sz w:val="22"/>
          <w:szCs w:val="22"/>
          <w:u w:val="single"/>
        </w:rPr>
      </w:pPr>
      <w:r w:rsidRPr="00D73819">
        <w:rPr>
          <w:rFonts w:ascii="Verdana" w:hAnsi="Verdana" w:cs="ƒf[Ó"/>
          <w:i/>
          <w:iCs/>
          <w:color w:val="000000"/>
          <w:kern w:val="0"/>
          <w:sz w:val="22"/>
          <w:szCs w:val="22"/>
          <w:u w:val="single"/>
        </w:rPr>
        <w:t>Condizioni di omologazione del concordato con attribuzioni ai soci</w:t>
      </w:r>
    </w:p>
    <w:p w14:paraId="2D35B760" w14:textId="77777777" w:rsidR="0050714E" w:rsidRPr="00D73819" w:rsidRDefault="0050714E" w:rsidP="0050714E">
      <w:pPr>
        <w:autoSpaceDE w:val="0"/>
        <w:autoSpaceDN w:val="0"/>
        <w:adjustRightInd w:val="0"/>
        <w:jc w:val="both"/>
        <w:rPr>
          <w:rFonts w:ascii="Verdana" w:hAnsi="Verdana" w:cs="ƒf[Ó"/>
          <w:color w:val="000000"/>
          <w:kern w:val="0"/>
          <w:sz w:val="22"/>
          <w:szCs w:val="22"/>
          <w:u w:val="single"/>
        </w:rPr>
      </w:pPr>
    </w:p>
    <w:p w14:paraId="7F7EA217" w14:textId="082CD7B2" w:rsidR="003F5C9D" w:rsidRPr="00D73819" w:rsidRDefault="003F5C9D" w:rsidP="00D606EA">
      <w:pPr>
        <w:autoSpaceDE w:val="0"/>
        <w:autoSpaceDN w:val="0"/>
        <w:adjustRightInd w:val="0"/>
        <w:jc w:val="both"/>
        <w:rPr>
          <w:rFonts w:ascii="Verdana" w:hAnsi="Verdana" w:cs="ƒf[Ó"/>
          <w:i/>
          <w:iCs/>
          <w:color w:val="000000"/>
          <w:kern w:val="0"/>
          <w:sz w:val="22"/>
          <w:szCs w:val="22"/>
        </w:rPr>
      </w:pPr>
      <w:r w:rsidRPr="00D73819">
        <w:rPr>
          <w:rFonts w:ascii="Verdana" w:hAnsi="Verdana" w:cs="ƒf[Ó"/>
          <w:i/>
          <w:iCs/>
          <w:color w:val="000000"/>
          <w:kern w:val="0"/>
          <w:sz w:val="22"/>
          <w:szCs w:val="22"/>
        </w:rPr>
        <w:t>1. Fermo quanto previsto dall’articolo 112, se il piano</w:t>
      </w:r>
      <w:r w:rsidR="009B6226" w:rsidRPr="00D73819">
        <w:rPr>
          <w:rFonts w:ascii="Verdana" w:hAnsi="Verdana" w:cs="ƒf[Ó"/>
          <w:i/>
          <w:iCs/>
          <w:color w:val="000000"/>
          <w:kern w:val="0"/>
          <w:sz w:val="22"/>
          <w:szCs w:val="22"/>
        </w:rPr>
        <w:t xml:space="preserve"> </w:t>
      </w:r>
      <w:r w:rsidRPr="00D73819">
        <w:rPr>
          <w:rFonts w:ascii="Verdana" w:hAnsi="Verdana" w:cs="ƒf[Ó"/>
          <w:i/>
          <w:iCs/>
          <w:color w:val="000000"/>
          <w:kern w:val="0"/>
          <w:sz w:val="22"/>
          <w:szCs w:val="22"/>
        </w:rPr>
        <w:t>prevede che il valore risultante dalla ristrutturazione</w:t>
      </w:r>
      <w:r w:rsidR="00D606EA" w:rsidRPr="00D73819">
        <w:rPr>
          <w:rFonts w:ascii="Verdana" w:hAnsi="Verdana" w:cs="ƒf[Ó"/>
          <w:i/>
          <w:iCs/>
          <w:color w:val="000000"/>
          <w:kern w:val="0"/>
          <w:sz w:val="22"/>
          <w:szCs w:val="22"/>
        </w:rPr>
        <w:t xml:space="preserve"> </w:t>
      </w:r>
      <w:r w:rsidRPr="00D73819">
        <w:rPr>
          <w:rFonts w:ascii="Verdana" w:hAnsi="Verdana" w:cs="ƒf[Ó"/>
          <w:i/>
          <w:iCs/>
          <w:color w:val="000000"/>
          <w:kern w:val="0"/>
          <w:sz w:val="22"/>
          <w:szCs w:val="22"/>
        </w:rPr>
        <w:t>sia riservato anche ai soci anteriori alla presentazione</w:t>
      </w:r>
      <w:r w:rsidR="009B6226" w:rsidRPr="00D73819">
        <w:rPr>
          <w:rFonts w:ascii="Verdana" w:hAnsi="Verdana" w:cs="ƒf[Ó"/>
          <w:i/>
          <w:iCs/>
          <w:color w:val="000000"/>
          <w:kern w:val="0"/>
          <w:sz w:val="22"/>
          <w:szCs w:val="22"/>
        </w:rPr>
        <w:t xml:space="preserve"> </w:t>
      </w:r>
      <w:r w:rsidRPr="00D73819">
        <w:rPr>
          <w:rFonts w:ascii="Verdana" w:hAnsi="Verdana" w:cs="ƒf[Ó"/>
          <w:i/>
          <w:iCs/>
          <w:color w:val="000000"/>
          <w:kern w:val="0"/>
          <w:sz w:val="22"/>
          <w:szCs w:val="22"/>
        </w:rPr>
        <w:t xml:space="preserve">della </w:t>
      </w:r>
      <w:r w:rsidR="00D606EA" w:rsidRPr="00D73819">
        <w:rPr>
          <w:rFonts w:ascii="Verdana" w:hAnsi="Verdana" w:cs="ƒf[Ó"/>
          <w:i/>
          <w:iCs/>
          <w:color w:val="000000"/>
          <w:kern w:val="0"/>
          <w:sz w:val="22"/>
          <w:szCs w:val="22"/>
        </w:rPr>
        <w:t>d</w:t>
      </w:r>
      <w:r w:rsidRPr="00D73819">
        <w:rPr>
          <w:rFonts w:ascii="Verdana" w:hAnsi="Verdana" w:cs="ƒf[Ó"/>
          <w:i/>
          <w:iCs/>
          <w:color w:val="000000"/>
          <w:kern w:val="0"/>
          <w:sz w:val="22"/>
          <w:szCs w:val="22"/>
        </w:rPr>
        <w:t>omanda, il concordato, in caso di dissenso di</w:t>
      </w:r>
      <w:r w:rsidR="00D606EA" w:rsidRPr="00D73819">
        <w:rPr>
          <w:rFonts w:ascii="Verdana" w:hAnsi="Verdana" w:cs="ƒf[Ó"/>
          <w:i/>
          <w:iCs/>
          <w:color w:val="000000"/>
          <w:kern w:val="0"/>
          <w:sz w:val="22"/>
          <w:szCs w:val="22"/>
        </w:rPr>
        <w:t xml:space="preserve"> </w:t>
      </w:r>
      <w:r w:rsidRPr="00D73819">
        <w:rPr>
          <w:rFonts w:ascii="Verdana" w:hAnsi="Verdana" w:cs="ƒf[Ó"/>
          <w:i/>
          <w:iCs/>
          <w:color w:val="000000"/>
          <w:kern w:val="0"/>
          <w:sz w:val="22"/>
          <w:szCs w:val="22"/>
        </w:rPr>
        <w:t>una o più classi di creditori, può essere omologato se</w:t>
      </w:r>
      <w:r w:rsidR="009B6226" w:rsidRPr="00D73819">
        <w:rPr>
          <w:rFonts w:ascii="Verdana" w:hAnsi="Verdana" w:cs="ƒf[Ó"/>
          <w:i/>
          <w:iCs/>
          <w:color w:val="000000"/>
          <w:kern w:val="0"/>
          <w:sz w:val="22"/>
          <w:szCs w:val="22"/>
        </w:rPr>
        <w:t xml:space="preserve"> </w:t>
      </w:r>
      <w:r w:rsidRPr="00D73819">
        <w:rPr>
          <w:rFonts w:ascii="Verdana" w:hAnsi="Verdana" w:cs="ƒf[Ó"/>
          <w:i/>
          <w:iCs/>
          <w:color w:val="000000"/>
          <w:kern w:val="0"/>
          <w:sz w:val="22"/>
          <w:szCs w:val="22"/>
        </w:rPr>
        <w:t>il trattamento proposto a ciascuna delle classi dissenzienti</w:t>
      </w:r>
      <w:r w:rsidR="009B6226" w:rsidRPr="00D73819">
        <w:rPr>
          <w:rFonts w:ascii="Verdana" w:hAnsi="Verdana" w:cs="ƒf[Ó"/>
          <w:i/>
          <w:iCs/>
          <w:color w:val="000000"/>
          <w:kern w:val="0"/>
          <w:sz w:val="22"/>
          <w:szCs w:val="22"/>
        </w:rPr>
        <w:t xml:space="preserve"> </w:t>
      </w:r>
      <w:r w:rsidRPr="00D73819">
        <w:rPr>
          <w:rFonts w:ascii="Verdana" w:hAnsi="Verdana" w:cs="ƒf[Ó"/>
          <w:i/>
          <w:iCs/>
          <w:color w:val="000000"/>
          <w:kern w:val="0"/>
          <w:sz w:val="22"/>
          <w:szCs w:val="22"/>
        </w:rPr>
        <w:t>sarebbe almeno altrettanto favorevole rispetto a</w:t>
      </w:r>
      <w:r w:rsidR="009B6226" w:rsidRPr="00D73819">
        <w:rPr>
          <w:rFonts w:ascii="Verdana" w:hAnsi="Verdana" w:cs="ƒf[Ó"/>
          <w:i/>
          <w:iCs/>
          <w:color w:val="000000"/>
          <w:kern w:val="0"/>
          <w:sz w:val="22"/>
          <w:szCs w:val="22"/>
        </w:rPr>
        <w:t xml:space="preserve"> </w:t>
      </w:r>
      <w:r w:rsidRPr="00D73819">
        <w:rPr>
          <w:rFonts w:ascii="Verdana" w:hAnsi="Verdana" w:cs="ƒf[Ó"/>
          <w:i/>
          <w:iCs/>
          <w:color w:val="000000"/>
          <w:kern w:val="0"/>
          <w:sz w:val="22"/>
          <w:szCs w:val="22"/>
        </w:rPr>
        <w:t xml:space="preserve">quello proposto alle classi del medesimo </w:t>
      </w:r>
      <w:r w:rsidRPr="00D73819">
        <w:rPr>
          <w:rFonts w:ascii="Verdana" w:hAnsi="Verdana" w:cs="ƒf[Ó"/>
          <w:i/>
          <w:iCs/>
          <w:color w:val="FF0000"/>
          <w:kern w:val="0"/>
          <w:sz w:val="22"/>
          <w:szCs w:val="22"/>
        </w:rPr>
        <w:t xml:space="preserve">grado </w:t>
      </w:r>
      <w:r w:rsidRPr="00D73819">
        <w:rPr>
          <w:rFonts w:ascii="Verdana" w:hAnsi="Verdana" w:cs="ƒf[Ó"/>
          <w:i/>
          <w:iCs/>
          <w:color w:val="000000"/>
          <w:kern w:val="0"/>
          <w:sz w:val="22"/>
          <w:szCs w:val="22"/>
        </w:rPr>
        <w:t>e più</w:t>
      </w:r>
      <w:r w:rsidR="009B6226" w:rsidRPr="00D73819">
        <w:rPr>
          <w:rFonts w:ascii="Verdana" w:hAnsi="Verdana" w:cs="ƒf[Ó"/>
          <w:i/>
          <w:iCs/>
          <w:color w:val="000000"/>
          <w:kern w:val="0"/>
          <w:sz w:val="22"/>
          <w:szCs w:val="22"/>
        </w:rPr>
        <w:t xml:space="preserve"> </w:t>
      </w:r>
      <w:r w:rsidRPr="00D73819">
        <w:rPr>
          <w:rFonts w:ascii="Verdana" w:hAnsi="Verdana" w:cs="ƒf[Ó"/>
          <w:i/>
          <w:iCs/>
          <w:color w:val="000000"/>
          <w:kern w:val="0"/>
          <w:sz w:val="22"/>
          <w:szCs w:val="22"/>
        </w:rPr>
        <w:t xml:space="preserve">favorevole di quello proposto alle classi di </w:t>
      </w:r>
      <w:r w:rsidRPr="00D73819">
        <w:rPr>
          <w:rFonts w:ascii="Verdana" w:hAnsi="Verdana" w:cs="ƒf[Ó"/>
          <w:i/>
          <w:iCs/>
          <w:color w:val="FF0000"/>
          <w:kern w:val="0"/>
          <w:sz w:val="22"/>
          <w:szCs w:val="22"/>
        </w:rPr>
        <w:t xml:space="preserve">grado </w:t>
      </w:r>
      <w:r w:rsidRPr="00D73819">
        <w:rPr>
          <w:rFonts w:ascii="Verdana" w:hAnsi="Verdana" w:cs="ƒf[Ó"/>
          <w:i/>
          <w:iCs/>
          <w:color w:val="000000"/>
          <w:kern w:val="0"/>
          <w:sz w:val="22"/>
          <w:szCs w:val="22"/>
        </w:rPr>
        <w:t>inferiore,</w:t>
      </w:r>
      <w:r w:rsidR="009B6226" w:rsidRPr="00D73819">
        <w:rPr>
          <w:rFonts w:ascii="Verdana" w:hAnsi="Verdana" w:cs="ƒf[Ó"/>
          <w:i/>
          <w:iCs/>
          <w:color w:val="000000"/>
          <w:kern w:val="0"/>
          <w:sz w:val="22"/>
          <w:szCs w:val="22"/>
        </w:rPr>
        <w:t xml:space="preserve"> </w:t>
      </w:r>
      <w:r w:rsidRPr="00D73819">
        <w:rPr>
          <w:rFonts w:ascii="Verdana" w:hAnsi="Verdana" w:cs="ƒf[Ó"/>
          <w:i/>
          <w:iCs/>
          <w:color w:val="000000"/>
          <w:kern w:val="0"/>
          <w:sz w:val="22"/>
          <w:szCs w:val="22"/>
        </w:rPr>
        <w:t>anche se a tali classi venisse destinato il valore</w:t>
      </w:r>
      <w:r w:rsidR="009B6226" w:rsidRPr="00D73819">
        <w:rPr>
          <w:rFonts w:ascii="Verdana" w:hAnsi="Verdana" w:cs="ƒf[Ó"/>
          <w:i/>
          <w:iCs/>
          <w:color w:val="000000"/>
          <w:kern w:val="0"/>
          <w:sz w:val="22"/>
          <w:szCs w:val="22"/>
        </w:rPr>
        <w:t xml:space="preserve"> </w:t>
      </w:r>
      <w:r w:rsidRPr="00D73819">
        <w:rPr>
          <w:rFonts w:ascii="Verdana" w:hAnsi="Verdana" w:cs="ƒf[Ó"/>
          <w:i/>
          <w:iCs/>
          <w:color w:val="000000"/>
          <w:kern w:val="0"/>
          <w:sz w:val="22"/>
          <w:szCs w:val="22"/>
        </w:rPr>
        <w:t>complessivamente riservato ai soci. Se non vi sono</w:t>
      </w:r>
      <w:r w:rsidR="009B6226" w:rsidRPr="00D73819">
        <w:rPr>
          <w:rFonts w:ascii="Verdana" w:hAnsi="Verdana" w:cs="ƒf[Ó"/>
          <w:i/>
          <w:iCs/>
          <w:color w:val="000000"/>
          <w:kern w:val="0"/>
          <w:sz w:val="22"/>
          <w:szCs w:val="22"/>
        </w:rPr>
        <w:t xml:space="preserve"> </w:t>
      </w:r>
      <w:r w:rsidRPr="00D73819">
        <w:rPr>
          <w:rFonts w:ascii="Verdana" w:hAnsi="Verdana" w:cs="ƒf[Ó"/>
          <w:i/>
          <w:iCs/>
          <w:color w:val="000000"/>
          <w:kern w:val="0"/>
          <w:sz w:val="22"/>
          <w:szCs w:val="22"/>
        </w:rPr>
        <w:t xml:space="preserve">classi di creditori di </w:t>
      </w:r>
      <w:r w:rsidRPr="00D73819">
        <w:rPr>
          <w:rFonts w:ascii="Verdana" w:hAnsi="Verdana" w:cs="ƒf[Ó"/>
          <w:i/>
          <w:iCs/>
          <w:color w:val="FF0000"/>
          <w:kern w:val="0"/>
          <w:sz w:val="22"/>
          <w:szCs w:val="22"/>
        </w:rPr>
        <w:t xml:space="preserve">grado </w:t>
      </w:r>
      <w:r w:rsidRPr="00D73819">
        <w:rPr>
          <w:rFonts w:ascii="Verdana" w:hAnsi="Verdana" w:cs="ƒf[Ó"/>
          <w:i/>
          <w:iCs/>
          <w:color w:val="000000"/>
          <w:kern w:val="0"/>
          <w:sz w:val="22"/>
          <w:szCs w:val="22"/>
        </w:rPr>
        <w:t>pari o inferiore a quella</w:t>
      </w:r>
      <w:r w:rsidR="009B6226" w:rsidRPr="00D73819">
        <w:rPr>
          <w:rFonts w:ascii="Verdana" w:hAnsi="Verdana" w:cs="ƒf[Ó"/>
          <w:i/>
          <w:iCs/>
          <w:color w:val="000000"/>
          <w:kern w:val="0"/>
          <w:sz w:val="22"/>
          <w:szCs w:val="22"/>
        </w:rPr>
        <w:t xml:space="preserve"> </w:t>
      </w:r>
      <w:r w:rsidRPr="00D73819">
        <w:rPr>
          <w:rFonts w:ascii="Verdana" w:hAnsi="Verdana" w:cs="ƒf[Ó"/>
          <w:i/>
          <w:iCs/>
          <w:color w:val="000000"/>
          <w:kern w:val="0"/>
          <w:sz w:val="22"/>
          <w:szCs w:val="22"/>
        </w:rPr>
        <w:t>dissenziente, il concordato può essere omologato solo</w:t>
      </w:r>
      <w:r w:rsidR="009B6226" w:rsidRPr="00D73819">
        <w:rPr>
          <w:rFonts w:ascii="Verdana" w:hAnsi="Verdana" w:cs="ƒf[Ó"/>
          <w:i/>
          <w:iCs/>
          <w:color w:val="000000"/>
          <w:kern w:val="0"/>
          <w:sz w:val="22"/>
          <w:szCs w:val="22"/>
        </w:rPr>
        <w:t xml:space="preserve"> </w:t>
      </w:r>
      <w:r w:rsidRPr="00D73819">
        <w:rPr>
          <w:rFonts w:ascii="Verdana" w:hAnsi="Verdana" w:cs="ƒf[Ó"/>
          <w:i/>
          <w:iCs/>
          <w:color w:val="000000"/>
          <w:kern w:val="0"/>
          <w:sz w:val="22"/>
          <w:szCs w:val="22"/>
        </w:rPr>
        <w:t>quando il valore destinato al soddisfacimento dei creditori</w:t>
      </w:r>
      <w:r w:rsidR="009B6226" w:rsidRPr="00D73819">
        <w:rPr>
          <w:rFonts w:ascii="Verdana" w:hAnsi="Verdana" w:cs="ƒf[Ó"/>
          <w:i/>
          <w:iCs/>
          <w:color w:val="000000"/>
          <w:kern w:val="0"/>
          <w:sz w:val="22"/>
          <w:szCs w:val="22"/>
        </w:rPr>
        <w:t xml:space="preserve"> </w:t>
      </w:r>
      <w:r w:rsidRPr="00D73819">
        <w:rPr>
          <w:rFonts w:ascii="Verdana" w:hAnsi="Verdana" w:cs="ƒf[Ó"/>
          <w:i/>
          <w:iCs/>
          <w:color w:val="000000"/>
          <w:kern w:val="0"/>
          <w:sz w:val="22"/>
          <w:szCs w:val="22"/>
        </w:rPr>
        <w:t>appartenenti alla classe dissenziente è superiore</w:t>
      </w:r>
      <w:r w:rsidR="009B6226" w:rsidRPr="00D73819">
        <w:rPr>
          <w:rFonts w:ascii="Verdana" w:hAnsi="Verdana" w:cs="ƒf[Ó"/>
          <w:i/>
          <w:iCs/>
          <w:color w:val="000000"/>
          <w:kern w:val="0"/>
          <w:sz w:val="22"/>
          <w:szCs w:val="22"/>
        </w:rPr>
        <w:t xml:space="preserve"> </w:t>
      </w:r>
      <w:r w:rsidRPr="00D73819">
        <w:rPr>
          <w:rFonts w:ascii="Verdana" w:hAnsi="Verdana" w:cs="ƒf[Ó"/>
          <w:i/>
          <w:iCs/>
          <w:color w:val="000000"/>
          <w:kern w:val="0"/>
          <w:sz w:val="22"/>
          <w:szCs w:val="22"/>
        </w:rPr>
        <w:t>a quello complessivamente riservato ai soci.</w:t>
      </w:r>
    </w:p>
    <w:p w14:paraId="65EFD26A" w14:textId="19BA599B" w:rsidR="003F5C9D" w:rsidRPr="00D73819" w:rsidRDefault="003F5C9D" w:rsidP="009B6226">
      <w:pPr>
        <w:autoSpaceDE w:val="0"/>
        <w:autoSpaceDN w:val="0"/>
        <w:adjustRightInd w:val="0"/>
        <w:jc w:val="both"/>
        <w:rPr>
          <w:rFonts w:ascii="Verdana" w:hAnsi="Verdana" w:cs="ƒf[Ó"/>
          <w:i/>
          <w:iCs/>
          <w:color w:val="000000"/>
          <w:kern w:val="0"/>
          <w:sz w:val="22"/>
          <w:szCs w:val="22"/>
        </w:rPr>
      </w:pPr>
      <w:r w:rsidRPr="00D73819">
        <w:rPr>
          <w:rFonts w:ascii="Verdana" w:hAnsi="Verdana" w:cs="ƒf[Ó"/>
          <w:i/>
          <w:iCs/>
          <w:color w:val="000000"/>
          <w:kern w:val="0"/>
          <w:sz w:val="22"/>
          <w:szCs w:val="22"/>
        </w:rPr>
        <w:t>2. Per valore riservato ai soci si intende il valore effettivo,</w:t>
      </w:r>
      <w:r w:rsidR="009B6226" w:rsidRPr="00D73819">
        <w:rPr>
          <w:rFonts w:ascii="Verdana" w:hAnsi="Verdana" w:cs="ƒf[Ó"/>
          <w:i/>
          <w:iCs/>
          <w:color w:val="000000"/>
          <w:kern w:val="0"/>
          <w:sz w:val="22"/>
          <w:szCs w:val="22"/>
        </w:rPr>
        <w:t xml:space="preserve"> </w:t>
      </w:r>
      <w:r w:rsidRPr="00D73819">
        <w:rPr>
          <w:rFonts w:ascii="Verdana" w:hAnsi="Verdana" w:cs="ƒf[Ó"/>
          <w:i/>
          <w:iCs/>
          <w:color w:val="000000"/>
          <w:kern w:val="0"/>
          <w:sz w:val="22"/>
          <w:szCs w:val="22"/>
        </w:rPr>
        <w:t>conseguente all’omologazione della proposta,</w:t>
      </w:r>
      <w:r w:rsidR="009B6226" w:rsidRPr="00D73819">
        <w:rPr>
          <w:rFonts w:ascii="Verdana" w:hAnsi="Verdana" w:cs="ƒf[Ó"/>
          <w:i/>
          <w:iCs/>
          <w:color w:val="000000"/>
          <w:kern w:val="0"/>
          <w:sz w:val="22"/>
          <w:szCs w:val="22"/>
        </w:rPr>
        <w:t xml:space="preserve"> </w:t>
      </w:r>
      <w:r w:rsidRPr="00D73819">
        <w:rPr>
          <w:rFonts w:ascii="Verdana" w:hAnsi="Verdana" w:cs="ƒf[Ó"/>
          <w:i/>
          <w:iCs/>
          <w:color w:val="000000"/>
          <w:kern w:val="0"/>
          <w:sz w:val="22"/>
          <w:szCs w:val="22"/>
        </w:rPr>
        <w:t>delle loro partecipazioni e degli strumenti che attribuiscono</w:t>
      </w:r>
      <w:r w:rsidR="009B6226" w:rsidRPr="00D73819">
        <w:rPr>
          <w:rFonts w:ascii="Verdana" w:hAnsi="Verdana" w:cs="ƒf[Ó"/>
          <w:i/>
          <w:iCs/>
          <w:color w:val="000000"/>
          <w:kern w:val="0"/>
          <w:sz w:val="22"/>
          <w:szCs w:val="22"/>
        </w:rPr>
        <w:t xml:space="preserve"> </w:t>
      </w:r>
      <w:r w:rsidRPr="00D73819">
        <w:rPr>
          <w:rFonts w:ascii="Verdana" w:hAnsi="Verdana" w:cs="ƒf[Ó"/>
          <w:i/>
          <w:iCs/>
          <w:color w:val="000000"/>
          <w:kern w:val="0"/>
          <w:sz w:val="22"/>
          <w:szCs w:val="22"/>
        </w:rPr>
        <w:t>il diritto di acquisirle, dedotto il valore da essi</w:t>
      </w:r>
      <w:r w:rsidR="009B6226" w:rsidRPr="00D73819">
        <w:rPr>
          <w:rFonts w:ascii="Verdana" w:hAnsi="Verdana" w:cs="ƒf[Ó"/>
          <w:i/>
          <w:iCs/>
          <w:color w:val="000000"/>
          <w:kern w:val="0"/>
          <w:sz w:val="22"/>
          <w:szCs w:val="22"/>
        </w:rPr>
        <w:t xml:space="preserve"> </w:t>
      </w:r>
      <w:r w:rsidRPr="00D73819">
        <w:rPr>
          <w:rFonts w:ascii="Verdana" w:hAnsi="Verdana" w:cs="ƒf[Ó"/>
          <w:i/>
          <w:iCs/>
          <w:color w:val="000000"/>
          <w:kern w:val="0"/>
          <w:sz w:val="22"/>
          <w:szCs w:val="22"/>
        </w:rPr>
        <w:t>eventualmente apportato ai fini della ristrutturazione</w:t>
      </w:r>
      <w:r w:rsidR="009B6226" w:rsidRPr="00D73819">
        <w:rPr>
          <w:rFonts w:ascii="Verdana" w:hAnsi="Verdana" w:cs="ƒf[Ó"/>
          <w:i/>
          <w:iCs/>
          <w:color w:val="000000"/>
          <w:kern w:val="0"/>
          <w:sz w:val="22"/>
          <w:szCs w:val="22"/>
        </w:rPr>
        <w:t xml:space="preserve"> </w:t>
      </w:r>
      <w:r w:rsidRPr="00D73819">
        <w:rPr>
          <w:rFonts w:ascii="Verdana" w:hAnsi="Verdana" w:cs="ƒf[Ó"/>
          <w:i/>
          <w:iCs/>
          <w:color w:val="000000"/>
          <w:kern w:val="0"/>
          <w:sz w:val="22"/>
          <w:szCs w:val="22"/>
        </w:rPr>
        <w:t>in forma di conferimenti o di versamenti a fondo perduto</w:t>
      </w:r>
      <w:r w:rsidR="009B6226" w:rsidRPr="00D73819">
        <w:rPr>
          <w:rFonts w:ascii="Verdana" w:hAnsi="Verdana" w:cs="ƒf[Ó"/>
          <w:i/>
          <w:iCs/>
          <w:color w:val="000000"/>
          <w:kern w:val="0"/>
          <w:sz w:val="22"/>
          <w:szCs w:val="22"/>
        </w:rPr>
        <w:t xml:space="preserve"> </w:t>
      </w:r>
      <w:r w:rsidRPr="00D73819">
        <w:rPr>
          <w:rFonts w:ascii="Verdana" w:hAnsi="Verdana" w:cs="ƒf[Ó"/>
          <w:i/>
          <w:iCs/>
          <w:color w:val="000000"/>
          <w:kern w:val="0"/>
          <w:sz w:val="22"/>
          <w:szCs w:val="22"/>
        </w:rPr>
        <w:t xml:space="preserve">oppure, per le </w:t>
      </w:r>
      <w:r w:rsidRPr="00D73819">
        <w:rPr>
          <w:rFonts w:ascii="Verdana" w:hAnsi="Verdana" w:cs="ƒf[Ó"/>
          <w:i/>
          <w:iCs/>
          <w:color w:val="FF0000"/>
          <w:kern w:val="0"/>
          <w:sz w:val="22"/>
          <w:szCs w:val="22"/>
        </w:rPr>
        <w:t>imprese aventi i requisiti dimensionali</w:t>
      </w:r>
      <w:r w:rsidR="009B6226" w:rsidRPr="00D73819">
        <w:rPr>
          <w:rFonts w:ascii="Verdana" w:hAnsi="Verdana" w:cs="ƒf[Ó"/>
          <w:i/>
          <w:iCs/>
          <w:color w:val="FF0000"/>
          <w:kern w:val="0"/>
          <w:sz w:val="22"/>
          <w:szCs w:val="22"/>
        </w:rPr>
        <w:t xml:space="preserve"> </w:t>
      </w:r>
      <w:r w:rsidRPr="00D73819">
        <w:rPr>
          <w:rFonts w:ascii="Verdana" w:hAnsi="Verdana" w:cs="ƒf[Ó"/>
          <w:i/>
          <w:iCs/>
          <w:color w:val="FF0000"/>
          <w:kern w:val="0"/>
          <w:sz w:val="22"/>
          <w:szCs w:val="22"/>
        </w:rPr>
        <w:t>di cui all’articolo 85, comma 3, terzo periodo</w:t>
      </w:r>
      <w:r w:rsidRPr="00D73819">
        <w:rPr>
          <w:rFonts w:ascii="Verdana" w:hAnsi="Verdana" w:cs="ƒf[Ó"/>
          <w:i/>
          <w:iCs/>
          <w:color w:val="000000"/>
          <w:kern w:val="0"/>
          <w:sz w:val="22"/>
          <w:szCs w:val="22"/>
        </w:rPr>
        <w:t>,</w:t>
      </w:r>
      <w:r w:rsidR="009B6226" w:rsidRPr="00D73819">
        <w:rPr>
          <w:rFonts w:ascii="Verdana" w:hAnsi="Verdana" w:cs="ƒf[Ó"/>
          <w:i/>
          <w:iCs/>
          <w:color w:val="000000"/>
          <w:kern w:val="0"/>
          <w:sz w:val="22"/>
          <w:szCs w:val="22"/>
        </w:rPr>
        <w:t xml:space="preserve"> </w:t>
      </w:r>
      <w:r w:rsidRPr="00D73819">
        <w:rPr>
          <w:rFonts w:ascii="Verdana" w:hAnsi="Verdana" w:cs="ƒf[Ó"/>
          <w:i/>
          <w:iCs/>
          <w:color w:val="000000"/>
          <w:kern w:val="0"/>
          <w:sz w:val="22"/>
          <w:szCs w:val="22"/>
        </w:rPr>
        <w:t xml:space="preserve">anche in altra forma. </w:t>
      </w:r>
      <w:r w:rsidRPr="00D73819">
        <w:rPr>
          <w:rFonts w:ascii="Verdana" w:hAnsi="Verdana" w:cs="ƒf[Ó"/>
          <w:i/>
          <w:iCs/>
          <w:color w:val="FF0000"/>
          <w:kern w:val="0"/>
          <w:sz w:val="22"/>
          <w:szCs w:val="22"/>
        </w:rPr>
        <w:t>Il valore effettivo è determinato</w:t>
      </w:r>
      <w:r w:rsidR="009B6226" w:rsidRPr="00D73819">
        <w:rPr>
          <w:rFonts w:ascii="Verdana" w:hAnsi="Verdana" w:cs="ƒf[Ó"/>
          <w:i/>
          <w:iCs/>
          <w:color w:val="FF0000"/>
          <w:kern w:val="0"/>
          <w:sz w:val="22"/>
          <w:szCs w:val="22"/>
        </w:rPr>
        <w:t xml:space="preserve"> </w:t>
      </w:r>
      <w:r w:rsidRPr="00D73819">
        <w:rPr>
          <w:rFonts w:ascii="Verdana" w:hAnsi="Verdana" w:cs="ƒf[Ó"/>
          <w:i/>
          <w:iCs/>
          <w:color w:val="FF0000"/>
          <w:kern w:val="0"/>
          <w:sz w:val="22"/>
          <w:szCs w:val="22"/>
        </w:rPr>
        <w:t>in conformità ai principi contabili applicabili per la</w:t>
      </w:r>
      <w:r w:rsidR="009B6226" w:rsidRPr="00D73819">
        <w:rPr>
          <w:rFonts w:ascii="Verdana" w:hAnsi="Verdana" w:cs="ƒf[Ó"/>
          <w:i/>
          <w:iCs/>
          <w:color w:val="FF0000"/>
          <w:kern w:val="0"/>
          <w:sz w:val="22"/>
          <w:szCs w:val="22"/>
        </w:rPr>
        <w:t xml:space="preserve"> </w:t>
      </w:r>
      <w:r w:rsidRPr="00D73819">
        <w:rPr>
          <w:rFonts w:ascii="Verdana" w:hAnsi="Verdana" w:cs="ƒf[Ó"/>
          <w:i/>
          <w:iCs/>
          <w:color w:val="FF0000"/>
          <w:kern w:val="0"/>
          <w:sz w:val="22"/>
          <w:szCs w:val="22"/>
        </w:rPr>
        <w:t>determinazione del valore d’uso, sulla base del valore</w:t>
      </w:r>
      <w:r w:rsidR="009B6226" w:rsidRPr="00D73819">
        <w:rPr>
          <w:rFonts w:ascii="Verdana" w:hAnsi="Verdana" w:cs="ƒf[Ó"/>
          <w:i/>
          <w:iCs/>
          <w:color w:val="FF0000"/>
          <w:kern w:val="0"/>
          <w:sz w:val="22"/>
          <w:szCs w:val="22"/>
        </w:rPr>
        <w:t xml:space="preserve"> </w:t>
      </w:r>
      <w:r w:rsidRPr="00D73819">
        <w:rPr>
          <w:rFonts w:ascii="Verdana" w:hAnsi="Verdana" w:cs="ƒf[Ó"/>
          <w:i/>
          <w:iCs/>
          <w:color w:val="FF0000"/>
          <w:kern w:val="0"/>
          <w:sz w:val="22"/>
          <w:szCs w:val="22"/>
        </w:rPr>
        <w:t>attuale dei flussi finanziari futuri utilizzando i dati risultanti</w:t>
      </w:r>
      <w:r w:rsidR="009B6226" w:rsidRPr="00D73819">
        <w:rPr>
          <w:rFonts w:ascii="Verdana" w:hAnsi="Verdana" w:cs="ƒf[Ó"/>
          <w:i/>
          <w:iCs/>
          <w:color w:val="FF0000"/>
          <w:kern w:val="0"/>
          <w:sz w:val="22"/>
          <w:szCs w:val="22"/>
        </w:rPr>
        <w:t xml:space="preserve"> </w:t>
      </w:r>
      <w:r w:rsidRPr="00D73819">
        <w:rPr>
          <w:rFonts w:ascii="Verdana" w:hAnsi="Verdana" w:cs="ƒf[Ó"/>
          <w:i/>
          <w:iCs/>
          <w:color w:val="FF0000"/>
          <w:kern w:val="0"/>
          <w:sz w:val="22"/>
          <w:szCs w:val="22"/>
        </w:rPr>
        <w:t>dal piano di cui all’articolo 87 ed estrapolando</w:t>
      </w:r>
      <w:r w:rsidR="009B6226" w:rsidRPr="00D73819">
        <w:rPr>
          <w:rFonts w:ascii="Verdana" w:hAnsi="Verdana" w:cs="ƒf[Ó"/>
          <w:i/>
          <w:iCs/>
          <w:color w:val="FF0000"/>
          <w:kern w:val="0"/>
          <w:sz w:val="22"/>
          <w:szCs w:val="22"/>
        </w:rPr>
        <w:t xml:space="preserve"> </w:t>
      </w:r>
      <w:r w:rsidRPr="00D73819">
        <w:rPr>
          <w:rFonts w:ascii="Verdana" w:hAnsi="Verdana" w:cs="ƒf[Ó"/>
          <w:i/>
          <w:iCs/>
          <w:color w:val="FF0000"/>
          <w:kern w:val="0"/>
          <w:sz w:val="22"/>
          <w:szCs w:val="22"/>
        </w:rPr>
        <w:t>le proiezioni per gli anni successivi.</w:t>
      </w:r>
    </w:p>
    <w:p w14:paraId="63C67979" w14:textId="1ACD7896" w:rsidR="00725DE9" w:rsidRPr="00D73819" w:rsidRDefault="00725DE9" w:rsidP="00D606EA">
      <w:pPr>
        <w:autoSpaceDE w:val="0"/>
        <w:autoSpaceDN w:val="0"/>
        <w:adjustRightInd w:val="0"/>
        <w:jc w:val="both"/>
        <w:rPr>
          <w:rFonts w:ascii="Verdana" w:hAnsi="Verdana" w:cs="ƒf[Ó"/>
          <w:i/>
          <w:iCs/>
          <w:kern w:val="0"/>
          <w:sz w:val="22"/>
          <w:szCs w:val="22"/>
        </w:rPr>
      </w:pPr>
      <w:r w:rsidRPr="00D73819">
        <w:rPr>
          <w:rFonts w:ascii="Verdana" w:hAnsi="Verdana" w:cs="ƒf[Ó"/>
          <w:i/>
          <w:iCs/>
          <w:kern w:val="0"/>
          <w:sz w:val="22"/>
          <w:szCs w:val="22"/>
        </w:rPr>
        <w:t>3. I soci possono opporsi all’omologazione del concordato</w:t>
      </w:r>
      <w:r w:rsidR="00D606EA" w:rsidRPr="00D73819">
        <w:rPr>
          <w:rFonts w:ascii="Verdana" w:hAnsi="Verdana" w:cs="ƒf[Ó"/>
          <w:i/>
          <w:iCs/>
          <w:kern w:val="0"/>
          <w:sz w:val="22"/>
          <w:szCs w:val="22"/>
        </w:rPr>
        <w:t xml:space="preserve"> </w:t>
      </w:r>
      <w:r w:rsidRPr="00D73819">
        <w:rPr>
          <w:rFonts w:ascii="Verdana" w:hAnsi="Verdana" w:cs="ƒf[Ó"/>
          <w:i/>
          <w:iCs/>
          <w:kern w:val="0"/>
          <w:sz w:val="22"/>
          <w:szCs w:val="22"/>
        </w:rPr>
        <w:t>al fine di far valere il pregiudizio subito rispetto</w:t>
      </w:r>
      <w:r w:rsidR="00D606EA" w:rsidRPr="00D73819">
        <w:rPr>
          <w:rFonts w:ascii="Verdana" w:hAnsi="Verdana" w:cs="ƒf[Ó"/>
          <w:i/>
          <w:iCs/>
          <w:kern w:val="0"/>
          <w:sz w:val="22"/>
          <w:szCs w:val="22"/>
        </w:rPr>
        <w:t xml:space="preserve"> </w:t>
      </w:r>
      <w:r w:rsidRPr="00D73819">
        <w:rPr>
          <w:rFonts w:ascii="Verdana" w:hAnsi="Verdana" w:cs="ƒf[Ó"/>
          <w:i/>
          <w:iCs/>
          <w:kern w:val="0"/>
          <w:sz w:val="22"/>
          <w:szCs w:val="22"/>
        </w:rPr>
        <w:t>all’alternativa liquidatoria.</w:t>
      </w:r>
    </w:p>
    <w:p w14:paraId="0B2148C5" w14:textId="7183D75D" w:rsidR="00725DE9" w:rsidRPr="00D73819" w:rsidRDefault="00725DE9" w:rsidP="00D606EA">
      <w:pPr>
        <w:autoSpaceDE w:val="0"/>
        <w:autoSpaceDN w:val="0"/>
        <w:adjustRightInd w:val="0"/>
        <w:jc w:val="both"/>
        <w:rPr>
          <w:rFonts w:ascii="Verdana" w:hAnsi="Verdana" w:cs="ƒf[Ó"/>
          <w:i/>
          <w:iCs/>
          <w:kern w:val="0"/>
          <w:sz w:val="22"/>
          <w:szCs w:val="22"/>
        </w:rPr>
      </w:pPr>
      <w:r w:rsidRPr="00D73819">
        <w:rPr>
          <w:rFonts w:ascii="Verdana" w:hAnsi="Verdana" w:cs="ƒf[Ó"/>
          <w:i/>
          <w:iCs/>
          <w:kern w:val="0"/>
          <w:sz w:val="22"/>
          <w:szCs w:val="22"/>
        </w:rPr>
        <w:t>4. Le disposizioni di questo articolo si applicano, in</w:t>
      </w:r>
      <w:r w:rsidR="00D606EA" w:rsidRPr="00D73819">
        <w:rPr>
          <w:rFonts w:ascii="Verdana" w:hAnsi="Verdana" w:cs="ƒf[Ó"/>
          <w:i/>
          <w:iCs/>
          <w:kern w:val="0"/>
          <w:sz w:val="22"/>
          <w:szCs w:val="22"/>
        </w:rPr>
        <w:t xml:space="preserve"> </w:t>
      </w:r>
      <w:r w:rsidRPr="00D73819">
        <w:rPr>
          <w:rFonts w:ascii="Verdana" w:hAnsi="Verdana" w:cs="ƒf[Ó"/>
          <w:i/>
          <w:iCs/>
          <w:kern w:val="0"/>
          <w:sz w:val="22"/>
          <w:szCs w:val="22"/>
        </w:rPr>
        <w:t>quanto compatibili, all’omologazione del concordato</w:t>
      </w:r>
      <w:r w:rsidR="00D606EA" w:rsidRPr="00D73819">
        <w:rPr>
          <w:rFonts w:ascii="Verdana" w:hAnsi="Verdana" w:cs="ƒf[Ó"/>
          <w:i/>
          <w:iCs/>
          <w:kern w:val="0"/>
          <w:sz w:val="22"/>
          <w:szCs w:val="22"/>
        </w:rPr>
        <w:t xml:space="preserve"> </w:t>
      </w:r>
      <w:r w:rsidRPr="00D73819">
        <w:rPr>
          <w:rFonts w:ascii="Verdana" w:hAnsi="Verdana" w:cs="ƒf[Ó"/>
          <w:i/>
          <w:iCs/>
          <w:kern w:val="0"/>
          <w:sz w:val="22"/>
          <w:szCs w:val="22"/>
        </w:rPr>
        <w:t>in continuità aziendale presentato dagli imprenditori</w:t>
      </w:r>
      <w:r w:rsidR="00D606EA" w:rsidRPr="00D73819">
        <w:rPr>
          <w:rFonts w:ascii="Verdana" w:hAnsi="Verdana" w:cs="ƒf[Ó"/>
          <w:i/>
          <w:iCs/>
          <w:kern w:val="0"/>
          <w:sz w:val="22"/>
          <w:szCs w:val="22"/>
        </w:rPr>
        <w:t xml:space="preserve"> </w:t>
      </w:r>
      <w:r w:rsidRPr="00D73819">
        <w:rPr>
          <w:rFonts w:ascii="Verdana" w:hAnsi="Verdana" w:cs="ƒf[Ó"/>
          <w:i/>
          <w:iCs/>
          <w:kern w:val="0"/>
          <w:sz w:val="22"/>
          <w:szCs w:val="22"/>
        </w:rPr>
        <w:t>individuali o collettivi diversi dalle società e dai professionisti</w:t>
      </w:r>
      <w:r w:rsidR="00D606EA" w:rsidRPr="00D73819">
        <w:rPr>
          <w:rFonts w:ascii="Verdana" w:hAnsi="Verdana" w:cs="ƒf[Ó"/>
          <w:i/>
          <w:iCs/>
          <w:kern w:val="0"/>
          <w:sz w:val="22"/>
          <w:szCs w:val="22"/>
        </w:rPr>
        <w:t>.</w:t>
      </w:r>
    </w:p>
    <w:p w14:paraId="4732A185" w14:textId="77777777" w:rsidR="006770ED" w:rsidRPr="00D73819" w:rsidRDefault="006770ED" w:rsidP="00D606EA">
      <w:pPr>
        <w:autoSpaceDE w:val="0"/>
        <w:autoSpaceDN w:val="0"/>
        <w:adjustRightInd w:val="0"/>
        <w:jc w:val="both"/>
        <w:rPr>
          <w:rFonts w:ascii="Verdana" w:hAnsi="Verdana" w:cs="ƒf[Ó"/>
          <w:kern w:val="0"/>
          <w:sz w:val="22"/>
          <w:szCs w:val="22"/>
        </w:rPr>
      </w:pPr>
    </w:p>
    <w:p w14:paraId="58972730" w14:textId="52B226D4" w:rsidR="002E392F" w:rsidRPr="00D73819" w:rsidRDefault="002E392F" w:rsidP="005446A0">
      <w:pPr>
        <w:jc w:val="both"/>
        <w:rPr>
          <w:rFonts w:ascii="Verdana" w:hAnsi="Verdana"/>
          <w:b/>
          <w:bCs/>
          <w:sz w:val="22"/>
          <w:szCs w:val="22"/>
          <w:u w:val="single"/>
        </w:rPr>
      </w:pPr>
    </w:p>
    <w:p w14:paraId="1F52916F" w14:textId="56EAD6E6" w:rsidR="00602B57" w:rsidRPr="00D73819" w:rsidRDefault="00602B57">
      <w:pPr>
        <w:jc w:val="both"/>
        <w:rPr>
          <w:rFonts w:ascii="Verdana" w:hAnsi="Verdana"/>
          <w:sz w:val="22"/>
          <w:szCs w:val="22"/>
        </w:rPr>
      </w:pPr>
      <w:r w:rsidRPr="00D73819">
        <w:rPr>
          <w:rFonts w:ascii="Verdana" w:hAnsi="Verdana"/>
          <w:b/>
          <w:bCs/>
          <w:sz w:val="22"/>
          <w:szCs w:val="22"/>
        </w:rPr>
        <w:t>1. Le “attribuzioni ai soci”</w:t>
      </w:r>
      <w:r w:rsidR="00386ECB">
        <w:rPr>
          <w:rFonts w:ascii="Verdana" w:hAnsi="Verdana"/>
          <w:b/>
          <w:bCs/>
          <w:sz w:val="22"/>
          <w:szCs w:val="22"/>
        </w:rPr>
        <w:t xml:space="preserve"> vs. il “valore riservato ai soci”</w:t>
      </w:r>
    </w:p>
    <w:p w14:paraId="5E0B5EA5" w14:textId="77777777" w:rsidR="008F729E" w:rsidRPr="00D73819" w:rsidRDefault="008F729E" w:rsidP="005446A0">
      <w:pPr>
        <w:jc w:val="both"/>
        <w:rPr>
          <w:rFonts w:ascii="Verdana" w:hAnsi="Verdana"/>
          <w:b/>
          <w:bCs/>
          <w:sz w:val="22"/>
          <w:szCs w:val="22"/>
          <w:u w:val="single"/>
        </w:rPr>
      </w:pPr>
    </w:p>
    <w:p w14:paraId="29DB5ECF" w14:textId="22D17C44" w:rsidR="005446A0" w:rsidRPr="00D73819" w:rsidRDefault="009051B4" w:rsidP="005446A0">
      <w:pPr>
        <w:jc w:val="both"/>
        <w:rPr>
          <w:rFonts w:ascii="Verdana" w:hAnsi="Verdana"/>
          <w:sz w:val="22"/>
          <w:szCs w:val="22"/>
        </w:rPr>
      </w:pPr>
      <w:r w:rsidRPr="00D73819">
        <w:rPr>
          <w:rFonts w:ascii="Verdana" w:hAnsi="Verdana"/>
          <w:sz w:val="22"/>
          <w:szCs w:val="22"/>
        </w:rPr>
        <w:t>La prima questione</w:t>
      </w:r>
      <w:r w:rsidR="005446A0" w:rsidRPr="00D73819">
        <w:rPr>
          <w:rFonts w:ascii="Verdana" w:hAnsi="Verdana"/>
          <w:sz w:val="22"/>
          <w:szCs w:val="22"/>
        </w:rPr>
        <w:t xml:space="preserve"> riguarda </w:t>
      </w:r>
      <w:r w:rsidR="005446A0" w:rsidRPr="009D2777">
        <w:rPr>
          <w:rFonts w:ascii="Verdana" w:hAnsi="Verdana"/>
          <w:sz w:val="22"/>
          <w:szCs w:val="22"/>
          <w:u w:val="single"/>
        </w:rPr>
        <w:t>il significato dell’espressione “attribuzioni ai soci”</w:t>
      </w:r>
      <w:r w:rsidR="001D0D2A" w:rsidRPr="009D2777">
        <w:rPr>
          <w:rFonts w:ascii="Verdana" w:hAnsi="Verdana"/>
          <w:sz w:val="22"/>
          <w:szCs w:val="22"/>
          <w:u w:val="single"/>
        </w:rPr>
        <w:t>,</w:t>
      </w:r>
      <w:r w:rsidR="001D0D2A" w:rsidRPr="00D73819">
        <w:rPr>
          <w:rFonts w:ascii="Verdana" w:hAnsi="Verdana"/>
          <w:sz w:val="22"/>
          <w:szCs w:val="22"/>
        </w:rPr>
        <w:t xml:space="preserve"> che </w:t>
      </w:r>
      <w:r w:rsidR="005446A0" w:rsidRPr="00D73819">
        <w:rPr>
          <w:rFonts w:ascii="Verdana" w:hAnsi="Verdana"/>
          <w:sz w:val="22"/>
          <w:szCs w:val="22"/>
        </w:rPr>
        <w:t xml:space="preserve">compare nella rubrica della norma, ma non nel testo dell’articolo. </w:t>
      </w:r>
    </w:p>
    <w:p w14:paraId="5FD0E6FE" w14:textId="77777777" w:rsidR="005446A0" w:rsidRPr="00D73819" w:rsidRDefault="005446A0" w:rsidP="005446A0">
      <w:pPr>
        <w:jc w:val="both"/>
        <w:rPr>
          <w:rFonts w:ascii="Verdana" w:hAnsi="Verdana"/>
          <w:sz w:val="22"/>
          <w:szCs w:val="22"/>
        </w:rPr>
      </w:pPr>
      <w:r w:rsidRPr="00D73819">
        <w:rPr>
          <w:rFonts w:ascii="Verdana" w:hAnsi="Verdana"/>
          <w:sz w:val="22"/>
          <w:szCs w:val="22"/>
        </w:rPr>
        <w:t>In realtà, la norma non richiede che il piano concordatario preveda una vera e propria distribuzione di beni, denaro o utilità ai soci. È sufficiente che i soci anteriori alla domanda di concordato conservino partecipazioni sociali che, per effetto dell’omologazione e della ristrutturazione, acquisiscano o recuperino valore.</w:t>
      </w:r>
    </w:p>
    <w:p w14:paraId="367DCF2F" w14:textId="77777777" w:rsidR="00602B57" w:rsidRPr="00D73819" w:rsidRDefault="00602B57">
      <w:pPr>
        <w:jc w:val="both"/>
        <w:rPr>
          <w:rFonts w:ascii="Verdana" w:hAnsi="Verdana"/>
          <w:sz w:val="22"/>
          <w:szCs w:val="22"/>
        </w:rPr>
      </w:pPr>
      <w:r w:rsidRPr="00D73819">
        <w:rPr>
          <w:rFonts w:ascii="Verdana" w:hAnsi="Verdana"/>
          <w:sz w:val="22"/>
          <w:szCs w:val="22"/>
          <w:u w:val="single"/>
        </w:rPr>
        <w:t>Il punto centrale è dunque il “valore riservato ai soci”.</w:t>
      </w:r>
      <w:r w:rsidRPr="00D73819">
        <w:rPr>
          <w:rFonts w:ascii="Verdana" w:hAnsi="Verdana"/>
          <w:sz w:val="22"/>
          <w:szCs w:val="22"/>
        </w:rPr>
        <w:t xml:space="preserve"> Questo valore corrisponde, di regola, al valore effettivo delle partecipazioni sociali che i soci conservano a seguito dell’omologazione, dedotto l’eventuale valore da essi apportato ai fini della ristrutturazione.</w:t>
      </w:r>
    </w:p>
    <w:p w14:paraId="5699AE1A" w14:textId="77777777" w:rsidR="00602B57" w:rsidRPr="00D73819" w:rsidRDefault="00602B57">
      <w:pPr>
        <w:jc w:val="both"/>
        <w:rPr>
          <w:rFonts w:ascii="Verdana" w:hAnsi="Verdana"/>
          <w:sz w:val="22"/>
          <w:szCs w:val="22"/>
        </w:rPr>
      </w:pPr>
      <w:r w:rsidRPr="00D73819">
        <w:rPr>
          <w:rFonts w:ascii="Verdana" w:hAnsi="Verdana"/>
          <w:sz w:val="22"/>
          <w:szCs w:val="22"/>
        </w:rPr>
        <w:t>La disciplina si colloca a metà strada tra due estremi: non esclude automaticamente i soci dal valore della ristrutturazione, ma sottopone la conservazione di tale valore a specifiche condizioni.</w:t>
      </w:r>
    </w:p>
    <w:p w14:paraId="0C905861" w14:textId="77777777" w:rsidR="00090CEA" w:rsidRPr="00D73819" w:rsidRDefault="00090CEA" w:rsidP="00090CEA">
      <w:pPr>
        <w:jc w:val="both"/>
        <w:rPr>
          <w:rFonts w:ascii="Verdana" w:hAnsi="Verdana"/>
          <w:sz w:val="22"/>
          <w:szCs w:val="22"/>
        </w:rPr>
      </w:pPr>
      <w:r w:rsidRPr="00D73819">
        <w:rPr>
          <w:rFonts w:ascii="Verdana" w:hAnsi="Verdana"/>
          <w:sz w:val="22"/>
          <w:szCs w:val="22"/>
        </w:rPr>
        <w:lastRenderedPageBreak/>
        <w:t>L’art. 120-quater non si applica quindi solo quando ai soci venga assegnato qualcosa in modo esplicito, ma anche quando essi restino soci di una società risanata e le loro partecipazioni acquistino valore grazie al sacrificio dei creditori.</w:t>
      </w:r>
    </w:p>
    <w:p w14:paraId="7855E2E7" w14:textId="77777777" w:rsidR="00573811" w:rsidRPr="00D73819" w:rsidRDefault="00573811" w:rsidP="00573811">
      <w:pPr>
        <w:jc w:val="both"/>
        <w:rPr>
          <w:rFonts w:ascii="Verdana" w:hAnsi="Verdana"/>
          <w:sz w:val="22"/>
          <w:szCs w:val="22"/>
        </w:rPr>
      </w:pPr>
      <w:r w:rsidRPr="00D73819">
        <w:rPr>
          <w:rFonts w:ascii="Verdana" w:hAnsi="Verdana"/>
          <w:sz w:val="22"/>
          <w:szCs w:val="22"/>
        </w:rPr>
        <w:t>La norma, quindi, guarda alla sostanza economica dell’operazione: se i soci anteriori mantengono partecipazioni che esprimono valore grazie alla ristrutturazione, quel valore deve essere considerato nel confronto con i creditori.</w:t>
      </w:r>
    </w:p>
    <w:p w14:paraId="7E342163" w14:textId="77777777" w:rsidR="00C74562" w:rsidRPr="00D73819" w:rsidRDefault="00C74562" w:rsidP="001E6541">
      <w:pPr>
        <w:jc w:val="both"/>
        <w:rPr>
          <w:rFonts w:ascii="Verdana" w:hAnsi="Verdana"/>
          <w:sz w:val="22"/>
          <w:szCs w:val="22"/>
        </w:rPr>
      </w:pPr>
    </w:p>
    <w:p w14:paraId="1086A1EE" w14:textId="77777777" w:rsidR="00602B57" w:rsidRPr="00D73819" w:rsidRDefault="00602B57">
      <w:pPr>
        <w:jc w:val="both"/>
        <w:rPr>
          <w:rFonts w:ascii="Verdana" w:hAnsi="Verdana"/>
          <w:sz w:val="22"/>
          <w:szCs w:val="22"/>
        </w:rPr>
      </w:pPr>
      <w:r w:rsidRPr="00D73819">
        <w:rPr>
          <w:rFonts w:ascii="Verdana" w:hAnsi="Verdana"/>
          <w:b/>
          <w:bCs/>
          <w:sz w:val="22"/>
          <w:szCs w:val="22"/>
        </w:rPr>
        <w:t>2. L’ambito di applicazione</w:t>
      </w:r>
    </w:p>
    <w:p w14:paraId="20E40F4A" w14:textId="77777777" w:rsidR="008F729E" w:rsidRPr="00D73819" w:rsidRDefault="008F729E" w:rsidP="00090CEA">
      <w:pPr>
        <w:jc w:val="both"/>
        <w:rPr>
          <w:rFonts w:ascii="Verdana" w:hAnsi="Verdana"/>
          <w:sz w:val="22"/>
          <w:szCs w:val="22"/>
          <w:u w:val="single"/>
        </w:rPr>
      </w:pPr>
    </w:p>
    <w:p w14:paraId="2E5CF220" w14:textId="182F0F10" w:rsidR="00956449" w:rsidRPr="00D73819" w:rsidRDefault="00956449" w:rsidP="00956449">
      <w:pPr>
        <w:jc w:val="both"/>
        <w:rPr>
          <w:rFonts w:ascii="Verdana" w:hAnsi="Verdana"/>
          <w:sz w:val="22"/>
          <w:szCs w:val="22"/>
        </w:rPr>
      </w:pPr>
      <w:r w:rsidRPr="00D73819">
        <w:rPr>
          <w:rFonts w:ascii="Verdana" w:hAnsi="Verdana"/>
          <w:sz w:val="22"/>
          <w:szCs w:val="22"/>
        </w:rPr>
        <w:t xml:space="preserve">Ora, è pur vero che il legislatore del decreto correttivo ha previsto che le norme, che costituiscono ora il Capo III-bis del Titolo IV del codice della crisi, si applichino a tutti gli strumenti di regolazione della crisi e dell’insolvenza e dunque tanto al </w:t>
      </w:r>
      <w:r w:rsidR="00DE6B15" w:rsidRPr="00B12448">
        <w:rPr>
          <w:rFonts w:ascii="Verdana" w:hAnsi="Verdana"/>
          <w:sz w:val="22"/>
          <w:szCs w:val="22"/>
          <w:u w:val="single"/>
        </w:rPr>
        <w:t>piano di ristrutturazione soggetto a omologazione</w:t>
      </w:r>
      <w:r w:rsidR="00DE6B15" w:rsidRPr="00D73819">
        <w:rPr>
          <w:rFonts w:ascii="Verdana" w:hAnsi="Verdana"/>
          <w:sz w:val="22"/>
          <w:szCs w:val="22"/>
        </w:rPr>
        <w:t xml:space="preserve">, il cosiddetto P.R.O., </w:t>
      </w:r>
      <w:r w:rsidRPr="00D73819">
        <w:rPr>
          <w:rFonts w:ascii="Verdana" w:hAnsi="Verdana"/>
          <w:sz w:val="22"/>
          <w:szCs w:val="22"/>
        </w:rPr>
        <w:t xml:space="preserve">che al concordato in continuità. </w:t>
      </w:r>
    </w:p>
    <w:p w14:paraId="34088C52" w14:textId="77777777" w:rsidR="00602B57" w:rsidRPr="00D73819" w:rsidRDefault="00602B57">
      <w:pPr>
        <w:jc w:val="both"/>
        <w:rPr>
          <w:rFonts w:ascii="Verdana" w:hAnsi="Verdana"/>
          <w:sz w:val="22"/>
          <w:szCs w:val="22"/>
        </w:rPr>
      </w:pPr>
      <w:r w:rsidRPr="00D73819">
        <w:rPr>
          <w:rFonts w:ascii="Verdana" w:hAnsi="Verdana"/>
          <w:sz w:val="22"/>
          <w:szCs w:val="22"/>
        </w:rPr>
        <w:t xml:space="preserve">Tuttavia, </w:t>
      </w:r>
      <w:r w:rsidRPr="009B082C">
        <w:rPr>
          <w:rFonts w:ascii="Verdana" w:hAnsi="Verdana"/>
          <w:sz w:val="22"/>
          <w:szCs w:val="22"/>
          <w:u w:val="single"/>
        </w:rPr>
        <w:t>l’art. 120-quater si riferisce espressamente al concordato</w:t>
      </w:r>
      <w:r w:rsidRPr="00D73819">
        <w:rPr>
          <w:rFonts w:ascii="Verdana" w:hAnsi="Verdana"/>
          <w:sz w:val="22"/>
          <w:szCs w:val="22"/>
        </w:rPr>
        <w:t xml:space="preserve"> e soltanto per tale procedura regola il trattamento delle classi di soci e la determinazione della nozione di valore riservato ai soci, che deve tener conto del c.d. </w:t>
      </w:r>
      <w:r w:rsidRPr="00D73819">
        <w:rPr>
          <w:rFonts w:ascii="Verdana" w:hAnsi="Verdana"/>
          <w:i/>
          <w:iCs/>
          <w:sz w:val="22"/>
          <w:szCs w:val="22"/>
        </w:rPr>
        <w:t>terminal value</w:t>
      </w:r>
      <w:r w:rsidRPr="00D73819">
        <w:rPr>
          <w:rFonts w:ascii="Verdana" w:hAnsi="Verdana"/>
          <w:sz w:val="22"/>
          <w:szCs w:val="22"/>
        </w:rPr>
        <w:t xml:space="preserve"> (art. 120-quater, comma 2), al fine di evitare che costoro possano ricevere un trattamento più favorevole delle classi di creditori.</w:t>
      </w:r>
    </w:p>
    <w:p w14:paraId="4490278A" w14:textId="663CF52D" w:rsidR="00090CEA" w:rsidRPr="00D73819" w:rsidRDefault="00956449" w:rsidP="00090CEA">
      <w:pPr>
        <w:jc w:val="both"/>
        <w:rPr>
          <w:rFonts w:ascii="Verdana" w:hAnsi="Verdana"/>
          <w:sz w:val="22"/>
          <w:szCs w:val="22"/>
        </w:rPr>
      </w:pPr>
      <w:r w:rsidRPr="00D73819">
        <w:rPr>
          <w:rFonts w:ascii="Verdana" w:hAnsi="Verdana"/>
          <w:sz w:val="22"/>
          <w:szCs w:val="22"/>
        </w:rPr>
        <w:t>Nei fatti, l</w:t>
      </w:r>
      <w:r w:rsidR="00090CEA" w:rsidRPr="00D73819">
        <w:rPr>
          <w:rFonts w:ascii="Verdana" w:hAnsi="Verdana"/>
          <w:sz w:val="22"/>
          <w:szCs w:val="22"/>
        </w:rPr>
        <w:t xml:space="preserve">a norma è destinata a operare soprattutto nei </w:t>
      </w:r>
      <w:r w:rsidR="00090CEA" w:rsidRPr="00D73819">
        <w:rPr>
          <w:rFonts w:ascii="Verdana" w:hAnsi="Verdana"/>
          <w:sz w:val="22"/>
          <w:szCs w:val="22"/>
          <w:u w:val="single"/>
        </w:rPr>
        <w:t>concordati in continuità aziendale diretta.</w:t>
      </w:r>
      <w:r w:rsidR="00090CEA" w:rsidRPr="00D73819">
        <w:rPr>
          <w:rFonts w:ascii="Verdana" w:hAnsi="Verdana"/>
          <w:sz w:val="22"/>
          <w:szCs w:val="22"/>
        </w:rPr>
        <w:t xml:space="preserve"> In tale scenario, la società prosegue l’attività e il valore futuro dell’impresa può riflettersi sulle partecipazioni sociali ancora detenute dai soci originari.</w:t>
      </w:r>
    </w:p>
    <w:p w14:paraId="4DBE3ECB" w14:textId="77777777" w:rsidR="00602B57" w:rsidRPr="00D73819" w:rsidRDefault="00602B57">
      <w:pPr>
        <w:jc w:val="both"/>
        <w:rPr>
          <w:rFonts w:ascii="Verdana" w:hAnsi="Verdana"/>
          <w:sz w:val="22"/>
          <w:szCs w:val="22"/>
        </w:rPr>
      </w:pPr>
      <w:r w:rsidRPr="00D73819">
        <w:rPr>
          <w:rFonts w:ascii="Verdana" w:hAnsi="Verdana"/>
          <w:sz w:val="22"/>
          <w:szCs w:val="22"/>
        </w:rPr>
        <w:t xml:space="preserve">Problematica è l’applicazione al </w:t>
      </w:r>
      <w:r w:rsidRPr="00D73819">
        <w:rPr>
          <w:rFonts w:ascii="Verdana" w:hAnsi="Verdana"/>
          <w:sz w:val="22"/>
          <w:szCs w:val="22"/>
          <w:u w:val="single"/>
        </w:rPr>
        <w:t>concordato con continuità indiretta</w:t>
      </w:r>
      <w:r w:rsidRPr="00D73819">
        <w:rPr>
          <w:rFonts w:ascii="Verdana" w:hAnsi="Verdana"/>
          <w:sz w:val="22"/>
          <w:szCs w:val="22"/>
        </w:rPr>
        <w:t>. In tale ipotesi, l’azienda viene trasferita a un terzo o comunque la continuità si realizza attraverso un soggetto diverso dal debitore. È difficile ravvisare, in questo caso, un valore di ristrutturazione dell’imprenditore debitore che possa essere riservato ai soci. La provvista concordataria deriva principalmente dal prezzo di cessione dell’azienda, non dai flussi futuri dell’impresa rimasta in capo alla società debitrice.</w:t>
      </w:r>
    </w:p>
    <w:p w14:paraId="21BE605B" w14:textId="77777777" w:rsidR="00F614F7" w:rsidRPr="00D73819" w:rsidRDefault="00F614F7" w:rsidP="00F614F7">
      <w:pPr>
        <w:jc w:val="both"/>
        <w:rPr>
          <w:rFonts w:ascii="Verdana" w:hAnsi="Verdana"/>
          <w:sz w:val="22"/>
          <w:szCs w:val="22"/>
        </w:rPr>
      </w:pPr>
      <w:r w:rsidRPr="00D73819">
        <w:rPr>
          <w:rFonts w:ascii="Verdana" w:hAnsi="Verdana"/>
          <w:sz w:val="22"/>
          <w:szCs w:val="22"/>
        </w:rPr>
        <w:t xml:space="preserve">A maggior ragione, la norma non dovrebbe applicarsi al </w:t>
      </w:r>
      <w:r w:rsidRPr="00B12448">
        <w:rPr>
          <w:rFonts w:ascii="Verdana" w:hAnsi="Verdana"/>
          <w:sz w:val="22"/>
          <w:szCs w:val="22"/>
          <w:u w:val="single"/>
        </w:rPr>
        <w:t>concordato liquidatorio né al concordato semplificato.</w:t>
      </w:r>
      <w:r w:rsidRPr="00D73819">
        <w:rPr>
          <w:rFonts w:ascii="Verdana" w:hAnsi="Verdana"/>
          <w:sz w:val="22"/>
          <w:szCs w:val="22"/>
        </w:rPr>
        <w:t xml:space="preserve"> In tali procedure, l’attività non prosegue direttamente in capo alla società debitrice e non vi è, di regola, un valore di ristrutturazione destinato a riflettersi sulle partecipazioni sociali.</w:t>
      </w:r>
    </w:p>
    <w:p w14:paraId="1F8358C7" w14:textId="0973DF26" w:rsidR="00F614F7" w:rsidRPr="00D73819" w:rsidRDefault="00D17888" w:rsidP="00F614F7">
      <w:pPr>
        <w:jc w:val="both"/>
        <w:rPr>
          <w:rFonts w:ascii="Verdana" w:hAnsi="Verdana"/>
          <w:sz w:val="22"/>
          <w:szCs w:val="22"/>
        </w:rPr>
      </w:pPr>
      <w:r w:rsidRPr="00D73819">
        <w:rPr>
          <w:rFonts w:ascii="Verdana" w:hAnsi="Verdana"/>
          <w:sz w:val="22"/>
          <w:szCs w:val="22"/>
        </w:rPr>
        <w:t>Pe</w:t>
      </w:r>
      <w:r w:rsidR="006360FA" w:rsidRPr="00D73819">
        <w:rPr>
          <w:rFonts w:ascii="Verdana" w:hAnsi="Verdana"/>
          <w:sz w:val="22"/>
          <w:szCs w:val="22"/>
        </w:rPr>
        <w:t xml:space="preserve">r quanto attiene al </w:t>
      </w:r>
      <w:r w:rsidR="00F614F7" w:rsidRPr="00B12448">
        <w:rPr>
          <w:rFonts w:ascii="Verdana" w:hAnsi="Verdana"/>
          <w:sz w:val="22"/>
          <w:szCs w:val="22"/>
          <w:u w:val="single"/>
        </w:rPr>
        <w:t>concordato minore</w:t>
      </w:r>
      <w:r w:rsidR="006360FA" w:rsidRPr="00D73819">
        <w:rPr>
          <w:rFonts w:ascii="Verdana" w:hAnsi="Verdana"/>
          <w:sz w:val="22"/>
          <w:szCs w:val="22"/>
        </w:rPr>
        <w:t>, d</w:t>
      </w:r>
      <w:r w:rsidR="00F614F7" w:rsidRPr="00D73819">
        <w:rPr>
          <w:rFonts w:ascii="Verdana" w:hAnsi="Verdana"/>
          <w:sz w:val="22"/>
          <w:szCs w:val="22"/>
        </w:rPr>
        <w:t>a un lato, alcuni indici normativi sembrano consentire l’applicazione dell’art. 120-quater anche al concordato minore, soprattutto quando vi sia prosecuzione dell’attività imprenditoriale o professionale</w:t>
      </w:r>
      <w:r w:rsidR="006360FA" w:rsidRPr="00D73819">
        <w:rPr>
          <w:rFonts w:ascii="Verdana" w:hAnsi="Verdana"/>
          <w:sz w:val="22"/>
          <w:szCs w:val="22"/>
        </w:rPr>
        <w:t>, d</w:t>
      </w:r>
      <w:r w:rsidR="00F614F7" w:rsidRPr="00D73819">
        <w:rPr>
          <w:rFonts w:ascii="Verdana" w:hAnsi="Verdana"/>
          <w:sz w:val="22"/>
          <w:szCs w:val="22"/>
        </w:rPr>
        <w:t>all’altro lato, l’incipit della norma — “fermo quanto previsto dall’art. 112” — sembra collegarla alla ristrutturazione trasversale nel concordato preventivo, e dunque limitarne l’applicazione a quest’ultimo strumento.</w:t>
      </w:r>
    </w:p>
    <w:p w14:paraId="013FC10E" w14:textId="575C7798" w:rsidR="00846FE8" w:rsidRPr="00D73819" w:rsidRDefault="008C038C" w:rsidP="00846FE8">
      <w:pPr>
        <w:jc w:val="both"/>
        <w:rPr>
          <w:rFonts w:ascii="Verdana" w:hAnsi="Verdana"/>
          <w:sz w:val="22"/>
          <w:szCs w:val="22"/>
        </w:rPr>
      </w:pPr>
      <w:r w:rsidRPr="00D73819">
        <w:rPr>
          <w:rFonts w:ascii="Verdana" w:hAnsi="Verdana"/>
          <w:sz w:val="22"/>
          <w:szCs w:val="22"/>
        </w:rPr>
        <w:t>Per quanto attiene al</w:t>
      </w:r>
      <w:r w:rsidR="00F614F7" w:rsidRPr="00D73819">
        <w:rPr>
          <w:rFonts w:ascii="Verdana" w:hAnsi="Verdana"/>
          <w:sz w:val="22"/>
          <w:szCs w:val="22"/>
        </w:rPr>
        <w:t xml:space="preserve"> </w:t>
      </w:r>
      <w:r w:rsidR="005E6B99" w:rsidRPr="00B12448">
        <w:rPr>
          <w:rFonts w:ascii="Verdana" w:hAnsi="Verdana"/>
          <w:sz w:val="22"/>
          <w:szCs w:val="22"/>
          <w:u w:val="single"/>
        </w:rPr>
        <w:t>piano di ristrutturazione soggetto a omologazione</w:t>
      </w:r>
      <w:r w:rsidR="005E6B99" w:rsidRPr="00D73819">
        <w:rPr>
          <w:rFonts w:ascii="Verdana" w:hAnsi="Verdana"/>
          <w:sz w:val="22"/>
          <w:szCs w:val="22"/>
        </w:rPr>
        <w:t xml:space="preserve"> </w:t>
      </w:r>
      <w:r w:rsidR="005D1B85" w:rsidRPr="00D73819">
        <w:rPr>
          <w:rFonts w:ascii="Verdana" w:hAnsi="Verdana"/>
          <w:sz w:val="22"/>
          <w:szCs w:val="22"/>
        </w:rPr>
        <w:t>deve escludersi</w:t>
      </w:r>
      <w:r w:rsidR="00F614F7" w:rsidRPr="00D73819">
        <w:rPr>
          <w:rFonts w:ascii="Verdana" w:hAnsi="Verdana"/>
          <w:sz w:val="22"/>
          <w:szCs w:val="22"/>
        </w:rPr>
        <w:t xml:space="preserve"> l’applicazione dell’art. 120-quater</w:t>
      </w:r>
      <w:r w:rsidR="00846FE8" w:rsidRPr="00D73819">
        <w:rPr>
          <w:rFonts w:ascii="Verdana" w:hAnsi="Verdana"/>
          <w:sz w:val="22"/>
          <w:szCs w:val="22"/>
        </w:rPr>
        <w:t xml:space="preserve">. </w:t>
      </w:r>
    </w:p>
    <w:p w14:paraId="0B480AFB" w14:textId="01D51AA3" w:rsidR="00573811" w:rsidRPr="00D73819" w:rsidRDefault="00846FE8" w:rsidP="00846FE8">
      <w:pPr>
        <w:jc w:val="both"/>
        <w:rPr>
          <w:rFonts w:ascii="Verdana" w:hAnsi="Verdana"/>
          <w:sz w:val="22"/>
          <w:szCs w:val="22"/>
        </w:rPr>
      </w:pPr>
      <w:r w:rsidRPr="00D73819">
        <w:rPr>
          <w:rFonts w:ascii="Verdana" w:hAnsi="Verdana"/>
          <w:sz w:val="22"/>
          <w:szCs w:val="22"/>
        </w:rPr>
        <w:t>Il regime previsto dall’art. 120-quater tutela le classi di creditori rispetto al trattamento delle classi di soci soltanto nel caso di dissenso di una o più classi, e</w:t>
      </w:r>
      <w:r w:rsidR="00F614F7" w:rsidRPr="00D73819">
        <w:rPr>
          <w:rFonts w:ascii="Verdana" w:hAnsi="Verdana"/>
          <w:sz w:val="22"/>
          <w:szCs w:val="22"/>
        </w:rPr>
        <w:t xml:space="preserve"> poiché il P.R.O. richiede l’approvazione di tutte le classi votanti e non contempla una ristrutturazione trasversale</w:t>
      </w:r>
      <w:r w:rsidRPr="00D73819">
        <w:rPr>
          <w:rFonts w:ascii="Verdana" w:hAnsi="Verdana"/>
          <w:sz w:val="22"/>
          <w:szCs w:val="22"/>
        </w:rPr>
        <w:t>, m</w:t>
      </w:r>
      <w:r w:rsidR="00F614F7" w:rsidRPr="00D73819">
        <w:rPr>
          <w:rFonts w:ascii="Verdana" w:hAnsi="Verdana"/>
          <w:sz w:val="22"/>
          <w:szCs w:val="22"/>
        </w:rPr>
        <w:t xml:space="preserve">anca il presupposto del dissenso superabile tramite omologazione forzosa, </w:t>
      </w:r>
      <w:r w:rsidRPr="00D73819">
        <w:rPr>
          <w:rFonts w:ascii="Verdana" w:hAnsi="Verdana"/>
          <w:sz w:val="22"/>
          <w:szCs w:val="22"/>
        </w:rPr>
        <w:t xml:space="preserve">e dunque </w:t>
      </w:r>
      <w:r w:rsidR="00F614F7" w:rsidRPr="00D73819">
        <w:rPr>
          <w:rFonts w:ascii="Verdana" w:hAnsi="Verdana"/>
          <w:sz w:val="22"/>
          <w:szCs w:val="22"/>
        </w:rPr>
        <w:t xml:space="preserve">non vi </w:t>
      </w:r>
      <w:r w:rsidR="005D1B85" w:rsidRPr="00D73819">
        <w:rPr>
          <w:rFonts w:ascii="Verdana" w:hAnsi="Verdana"/>
          <w:sz w:val="22"/>
          <w:szCs w:val="22"/>
        </w:rPr>
        <w:t>è</w:t>
      </w:r>
      <w:r w:rsidR="00F614F7" w:rsidRPr="00D73819">
        <w:rPr>
          <w:rFonts w:ascii="Verdana" w:hAnsi="Verdana"/>
          <w:sz w:val="22"/>
          <w:szCs w:val="22"/>
        </w:rPr>
        <w:t xml:space="preserve"> spazio per l’applicazione della disciplina sulle attribuzioni ai soci.</w:t>
      </w:r>
    </w:p>
    <w:p w14:paraId="5F61D2A2" w14:textId="77777777" w:rsidR="008F729E" w:rsidRPr="00D73819" w:rsidRDefault="008F729E" w:rsidP="00090CEA">
      <w:pPr>
        <w:jc w:val="both"/>
        <w:rPr>
          <w:rFonts w:ascii="Verdana" w:hAnsi="Verdana"/>
          <w:sz w:val="22"/>
          <w:szCs w:val="22"/>
        </w:rPr>
      </w:pPr>
    </w:p>
    <w:p w14:paraId="0CEB316A" w14:textId="77777777" w:rsidR="00712D61" w:rsidRPr="00D73819" w:rsidRDefault="00712D61" w:rsidP="00712D61">
      <w:pPr>
        <w:jc w:val="both"/>
        <w:rPr>
          <w:rFonts w:ascii="Verdana" w:hAnsi="Verdana"/>
          <w:b/>
          <w:bCs/>
          <w:sz w:val="22"/>
          <w:szCs w:val="22"/>
        </w:rPr>
      </w:pPr>
      <w:r w:rsidRPr="00D73819">
        <w:rPr>
          <w:rFonts w:ascii="Verdana" w:hAnsi="Verdana"/>
          <w:b/>
          <w:bCs/>
          <w:sz w:val="22"/>
          <w:szCs w:val="22"/>
        </w:rPr>
        <w:t>3. L’anteriorità dei soci rispetto alla domanda</w:t>
      </w:r>
    </w:p>
    <w:p w14:paraId="28081847" w14:textId="77777777" w:rsidR="00CE64F7" w:rsidRPr="00D73819" w:rsidRDefault="00CE64F7" w:rsidP="00712D61">
      <w:pPr>
        <w:jc w:val="both"/>
        <w:rPr>
          <w:rFonts w:ascii="Verdana" w:hAnsi="Verdana"/>
          <w:b/>
          <w:bCs/>
          <w:sz w:val="22"/>
          <w:szCs w:val="22"/>
        </w:rPr>
      </w:pPr>
    </w:p>
    <w:p w14:paraId="35D3733F" w14:textId="1035D047" w:rsidR="00712D61" w:rsidRPr="00D73819" w:rsidRDefault="00712D61" w:rsidP="00712D61">
      <w:pPr>
        <w:jc w:val="both"/>
        <w:rPr>
          <w:rFonts w:ascii="Verdana" w:hAnsi="Verdana"/>
          <w:sz w:val="22"/>
          <w:szCs w:val="22"/>
        </w:rPr>
      </w:pPr>
      <w:r w:rsidRPr="00D73819">
        <w:rPr>
          <w:rFonts w:ascii="Verdana" w:hAnsi="Verdana"/>
          <w:sz w:val="22"/>
          <w:szCs w:val="22"/>
        </w:rPr>
        <w:t xml:space="preserve">Un ulteriore profilo riguarda il requisito soggettivo: </w:t>
      </w:r>
      <w:r w:rsidRPr="00FE2307">
        <w:rPr>
          <w:rFonts w:ascii="Verdana" w:hAnsi="Verdana"/>
          <w:sz w:val="22"/>
          <w:szCs w:val="22"/>
          <w:u w:val="single"/>
        </w:rPr>
        <w:t>la norma si riferisce ai soli soci anteriori alla presentazione della domanda di concordato.</w:t>
      </w:r>
      <w:r w:rsidRPr="00D73819">
        <w:rPr>
          <w:rFonts w:ascii="Verdana" w:hAnsi="Verdana"/>
          <w:sz w:val="22"/>
          <w:szCs w:val="22"/>
        </w:rPr>
        <w:t xml:space="preserve"> </w:t>
      </w:r>
    </w:p>
    <w:p w14:paraId="0BF90189" w14:textId="77777777" w:rsidR="00712D61" w:rsidRPr="00D73819" w:rsidRDefault="00712D61" w:rsidP="00712D61">
      <w:pPr>
        <w:jc w:val="both"/>
        <w:rPr>
          <w:rFonts w:ascii="Verdana" w:hAnsi="Verdana"/>
          <w:sz w:val="22"/>
          <w:szCs w:val="22"/>
        </w:rPr>
      </w:pPr>
      <w:r w:rsidRPr="00D73819">
        <w:rPr>
          <w:rFonts w:ascii="Verdana" w:hAnsi="Verdana"/>
          <w:sz w:val="22"/>
          <w:szCs w:val="22"/>
        </w:rPr>
        <w:t xml:space="preserve">La ratio della norma è duplice. Da un lato, si vuole evitare che i soci che hanno condotto la società alla crisi possano beneficiare del valore generato dalla ristrutturazione, </w:t>
      </w:r>
      <w:r w:rsidRPr="00D73819">
        <w:rPr>
          <w:rFonts w:ascii="Verdana" w:hAnsi="Verdana"/>
          <w:sz w:val="22"/>
          <w:szCs w:val="22"/>
        </w:rPr>
        <w:lastRenderedPageBreak/>
        <w:t>mantenendo partecipazioni che recuperano valore grazie al sacrificio dei creditori. Dall’altro lato, si intende incentivare i soci ad attivarsi tempestivamente, promuovendo l’accesso agli strumenti di regolazione della crisi quando l’impresa conserva ancora un valore sufficiente a soddisfare adeguatamente i creditori.</w:t>
      </w:r>
    </w:p>
    <w:p w14:paraId="52F0E402" w14:textId="77777777" w:rsidR="00602B57" w:rsidRPr="00D73819" w:rsidRDefault="00602B57">
      <w:pPr>
        <w:jc w:val="both"/>
        <w:rPr>
          <w:rFonts w:ascii="Verdana" w:hAnsi="Verdana"/>
          <w:sz w:val="22"/>
          <w:szCs w:val="22"/>
        </w:rPr>
      </w:pPr>
      <w:r w:rsidRPr="00D73819">
        <w:rPr>
          <w:rFonts w:ascii="Verdana" w:hAnsi="Verdana"/>
          <w:sz w:val="22"/>
          <w:szCs w:val="22"/>
        </w:rPr>
        <w:t xml:space="preserve">Si tratta peraltro di una </w:t>
      </w:r>
      <w:r w:rsidRPr="00FE2307">
        <w:rPr>
          <w:rFonts w:ascii="Verdana" w:hAnsi="Verdana"/>
          <w:sz w:val="22"/>
          <w:szCs w:val="22"/>
          <w:u w:val="single"/>
        </w:rPr>
        <w:t>previsione non del tutto coerente con un sistema in cui i soci sono schiacciati fuori dal governo della crisi</w:t>
      </w:r>
      <w:r w:rsidRPr="00D73819">
        <w:rPr>
          <w:rFonts w:ascii="Verdana" w:hAnsi="Verdana"/>
          <w:sz w:val="22"/>
          <w:szCs w:val="22"/>
        </w:rPr>
        <w:t xml:space="preserve"> ai sensi degli artt. 120-bis e 120-quinquies CCII; è tuttavia evidente che il legislatore assume, secondo il </w:t>
      </w:r>
      <w:r w:rsidRPr="00D73819">
        <w:rPr>
          <w:rFonts w:ascii="Verdana" w:hAnsi="Verdana"/>
          <w:i/>
          <w:iCs/>
          <w:sz w:val="22"/>
          <w:szCs w:val="22"/>
        </w:rPr>
        <w:t>quod plerumque accidit</w:t>
      </w:r>
      <w:r w:rsidRPr="00D73819">
        <w:rPr>
          <w:rFonts w:ascii="Verdana" w:hAnsi="Verdana"/>
          <w:sz w:val="22"/>
          <w:szCs w:val="22"/>
        </w:rPr>
        <w:t>, che l’organo di amministrazione sia comunque contiguo alla compagine sociale.</w:t>
      </w:r>
    </w:p>
    <w:p w14:paraId="6ABC9E2A" w14:textId="77777777" w:rsidR="00712D61" w:rsidRPr="00D73819" w:rsidRDefault="00712D61" w:rsidP="00712D61">
      <w:pPr>
        <w:jc w:val="both"/>
        <w:rPr>
          <w:rFonts w:ascii="Verdana" w:hAnsi="Verdana"/>
          <w:sz w:val="22"/>
          <w:szCs w:val="22"/>
        </w:rPr>
      </w:pPr>
      <w:r w:rsidRPr="00D73819">
        <w:rPr>
          <w:rFonts w:ascii="Verdana" w:hAnsi="Verdana"/>
          <w:sz w:val="22"/>
          <w:szCs w:val="22"/>
        </w:rPr>
        <w:t>In questa prospettiva, i soci anteriori che vogliano mantenere le proprie partecipazioni devono, per così dire, “ricomprarle”: devono cioè effettuare apporti alla ristrutturazione almeno idonei a compensare il valore che viene loro riservato.</w:t>
      </w:r>
    </w:p>
    <w:p w14:paraId="2FF7C930" w14:textId="77777777" w:rsidR="00602B57" w:rsidRPr="00D73819" w:rsidRDefault="00602B57">
      <w:pPr>
        <w:jc w:val="both"/>
        <w:rPr>
          <w:rFonts w:ascii="Verdana" w:hAnsi="Verdana"/>
          <w:sz w:val="22"/>
          <w:szCs w:val="22"/>
        </w:rPr>
      </w:pPr>
      <w:r w:rsidRPr="00D73819">
        <w:rPr>
          <w:rFonts w:ascii="Verdana" w:hAnsi="Verdana"/>
          <w:sz w:val="22"/>
          <w:szCs w:val="22"/>
        </w:rPr>
        <w:t xml:space="preserve">È stata suggerita in dottrina una lettura della norma tale da </w:t>
      </w:r>
      <w:r w:rsidRPr="00B12448">
        <w:rPr>
          <w:rFonts w:ascii="Verdana" w:hAnsi="Verdana"/>
          <w:sz w:val="22"/>
          <w:szCs w:val="22"/>
          <w:u w:val="single"/>
        </w:rPr>
        <w:t>escluderne l’applicazione a chi acquista partecipazioni dopo la presentazione della domanda,</w:t>
      </w:r>
      <w:r w:rsidRPr="00D73819">
        <w:rPr>
          <w:rFonts w:ascii="Verdana" w:hAnsi="Verdana"/>
          <w:sz w:val="22"/>
          <w:szCs w:val="22"/>
        </w:rPr>
        <w:t xml:space="preserve"> al fine di non scoraggiare l’intervento di nuovi investitori nelle operazioni di ristrutturazione.</w:t>
      </w:r>
    </w:p>
    <w:p w14:paraId="3A0A46B4" w14:textId="37E71052" w:rsidR="00712D61" w:rsidRPr="00D73819" w:rsidRDefault="002443DE" w:rsidP="00712D61">
      <w:pPr>
        <w:jc w:val="both"/>
        <w:rPr>
          <w:rFonts w:ascii="Verdana" w:hAnsi="Verdana"/>
          <w:sz w:val="22"/>
          <w:szCs w:val="22"/>
        </w:rPr>
      </w:pPr>
      <w:r w:rsidRPr="00D73819">
        <w:rPr>
          <w:rFonts w:ascii="Verdana" w:hAnsi="Verdana"/>
          <w:sz w:val="22"/>
          <w:szCs w:val="22"/>
        </w:rPr>
        <w:t>In concreto</w:t>
      </w:r>
      <w:r w:rsidR="00AA5CC7" w:rsidRPr="00D73819">
        <w:rPr>
          <w:rFonts w:ascii="Verdana" w:hAnsi="Verdana"/>
          <w:sz w:val="22"/>
          <w:szCs w:val="22"/>
        </w:rPr>
        <w:t xml:space="preserve">, la tesi sottende il </w:t>
      </w:r>
      <w:r w:rsidR="00AA5CC7" w:rsidRPr="00D73819">
        <w:rPr>
          <w:rFonts w:ascii="Verdana" w:hAnsi="Verdana"/>
          <w:i/>
          <w:iCs/>
          <w:sz w:val="22"/>
          <w:szCs w:val="22"/>
        </w:rPr>
        <w:t>caveat</w:t>
      </w:r>
      <w:r w:rsidR="00AA5CC7" w:rsidRPr="00D73819">
        <w:rPr>
          <w:rFonts w:ascii="Verdana" w:hAnsi="Verdana"/>
          <w:sz w:val="22"/>
          <w:szCs w:val="22"/>
        </w:rPr>
        <w:t xml:space="preserve"> di una accurata </w:t>
      </w:r>
      <w:r w:rsidR="00087F6D" w:rsidRPr="00D73819">
        <w:rPr>
          <w:rFonts w:ascii="Verdana" w:hAnsi="Verdana"/>
          <w:sz w:val="22"/>
          <w:szCs w:val="22"/>
        </w:rPr>
        <w:t xml:space="preserve">verifica al fine di sventare fattispecie </w:t>
      </w:r>
      <w:r w:rsidR="00712D61" w:rsidRPr="00D73819">
        <w:rPr>
          <w:rFonts w:ascii="Verdana" w:hAnsi="Verdana"/>
          <w:sz w:val="22"/>
          <w:szCs w:val="22"/>
        </w:rPr>
        <w:t>di abuso, simulazione o trasferimento fittizio volto a eludere la disciplina.</w:t>
      </w:r>
    </w:p>
    <w:p w14:paraId="40906948" w14:textId="790DE6FB" w:rsidR="00712D61" w:rsidRPr="00D73819" w:rsidRDefault="00712D61" w:rsidP="00712D61">
      <w:pPr>
        <w:jc w:val="both"/>
        <w:rPr>
          <w:rFonts w:ascii="Verdana" w:hAnsi="Verdana"/>
          <w:sz w:val="22"/>
          <w:szCs w:val="22"/>
        </w:rPr>
      </w:pPr>
    </w:p>
    <w:p w14:paraId="7F23D0EF" w14:textId="77777777" w:rsidR="00712D61" w:rsidRPr="00D73819" w:rsidRDefault="00712D61" w:rsidP="00712D61">
      <w:pPr>
        <w:jc w:val="both"/>
        <w:rPr>
          <w:rFonts w:ascii="Verdana" w:hAnsi="Verdana"/>
          <w:b/>
          <w:bCs/>
          <w:sz w:val="22"/>
          <w:szCs w:val="22"/>
        </w:rPr>
      </w:pPr>
      <w:r w:rsidRPr="00D73819">
        <w:rPr>
          <w:rFonts w:ascii="Verdana" w:hAnsi="Verdana"/>
          <w:b/>
          <w:bCs/>
          <w:sz w:val="22"/>
          <w:szCs w:val="22"/>
        </w:rPr>
        <w:t>4. Il valore effettivo delle partecipazioni sociali</w:t>
      </w:r>
    </w:p>
    <w:p w14:paraId="6D2D33D1" w14:textId="77777777" w:rsidR="00FE2307" w:rsidRDefault="00FE2307" w:rsidP="00712D61">
      <w:pPr>
        <w:jc w:val="both"/>
        <w:rPr>
          <w:rFonts w:ascii="Verdana" w:hAnsi="Verdana"/>
          <w:sz w:val="22"/>
          <w:szCs w:val="22"/>
        </w:rPr>
      </w:pPr>
    </w:p>
    <w:p w14:paraId="5A824B5E" w14:textId="0CE2A052" w:rsidR="00B12448" w:rsidRDefault="00712D61" w:rsidP="00712D61">
      <w:pPr>
        <w:jc w:val="both"/>
        <w:rPr>
          <w:rFonts w:ascii="Verdana" w:hAnsi="Verdana"/>
          <w:sz w:val="22"/>
          <w:szCs w:val="22"/>
        </w:rPr>
      </w:pPr>
      <w:r w:rsidRPr="00D73819">
        <w:rPr>
          <w:rFonts w:ascii="Verdana" w:hAnsi="Verdana"/>
          <w:sz w:val="22"/>
          <w:szCs w:val="22"/>
        </w:rPr>
        <w:t xml:space="preserve">Il cuore della disciplina è rappresentato dalla </w:t>
      </w:r>
      <w:r w:rsidRPr="00B12448">
        <w:rPr>
          <w:rFonts w:ascii="Verdana" w:hAnsi="Verdana"/>
          <w:sz w:val="22"/>
          <w:szCs w:val="22"/>
          <w:u w:val="single"/>
        </w:rPr>
        <w:t>determinazione del valore effettivo delle partecipazioni sociali conservate dai soci anteriori</w:t>
      </w:r>
      <w:r w:rsidRPr="00D73819">
        <w:rPr>
          <w:rFonts w:ascii="Verdana" w:hAnsi="Verdana"/>
          <w:sz w:val="22"/>
          <w:szCs w:val="22"/>
        </w:rPr>
        <w:t xml:space="preserve">. </w:t>
      </w:r>
    </w:p>
    <w:p w14:paraId="1C13629A" w14:textId="60348940" w:rsidR="00712D61" w:rsidRPr="00D73819" w:rsidRDefault="00712D61" w:rsidP="00712D61">
      <w:pPr>
        <w:jc w:val="both"/>
        <w:rPr>
          <w:rFonts w:ascii="Verdana" w:hAnsi="Verdana"/>
          <w:sz w:val="22"/>
          <w:szCs w:val="22"/>
        </w:rPr>
      </w:pPr>
      <w:r w:rsidRPr="00D73819">
        <w:rPr>
          <w:rFonts w:ascii="Verdana" w:hAnsi="Verdana"/>
          <w:sz w:val="22"/>
          <w:szCs w:val="22"/>
        </w:rPr>
        <w:t xml:space="preserve">Questo valore costituisce </w:t>
      </w:r>
      <w:r w:rsidRPr="00FE2307">
        <w:rPr>
          <w:rFonts w:ascii="Verdana" w:hAnsi="Verdana"/>
          <w:sz w:val="22"/>
          <w:szCs w:val="22"/>
          <w:u w:val="single"/>
        </w:rPr>
        <w:t>il punto di partenza</w:t>
      </w:r>
      <w:r w:rsidRPr="00D73819">
        <w:rPr>
          <w:rFonts w:ascii="Verdana" w:hAnsi="Verdana"/>
          <w:sz w:val="22"/>
          <w:szCs w:val="22"/>
        </w:rPr>
        <w:t xml:space="preserve"> per stabilire se e in che misura una parte del valore della ristrutturazione sia stata riservata ai soci.</w:t>
      </w:r>
    </w:p>
    <w:p w14:paraId="7EAF9053" w14:textId="77777777" w:rsidR="00602B57" w:rsidRPr="00D73819" w:rsidRDefault="00602B57">
      <w:pPr>
        <w:jc w:val="both"/>
        <w:rPr>
          <w:rFonts w:ascii="Verdana" w:hAnsi="Verdana"/>
          <w:sz w:val="22"/>
          <w:szCs w:val="22"/>
        </w:rPr>
      </w:pPr>
      <w:r w:rsidRPr="00FE2307">
        <w:rPr>
          <w:rFonts w:ascii="Verdana" w:hAnsi="Verdana"/>
          <w:sz w:val="22"/>
          <w:szCs w:val="22"/>
          <w:u w:val="single"/>
        </w:rPr>
        <w:t>L’intento dell’intervento normativo, ispirato alla Direttiva (UE) 2019/1023,</w:t>
      </w:r>
      <w:r w:rsidRPr="00D73819">
        <w:rPr>
          <w:rFonts w:ascii="Verdana" w:hAnsi="Verdana"/>
          <w:sz w:val="22"/>
          <w:szCs w:val="22"/>
        </w:rPr>
        <w:t xml:space="preserve"> mira ad assicurare un’equa distribuzione del valore aziendale complessivo tra le diverse classi di creditori e i portatori di capitale e di strumenti finanziari assimilabili. Anche il principio della priorità relativa (Relative Priority Rule) è accolto dal Legislatore in modo “temperato” nella lettera dell’art. 120-quater CCII.</w:t>
      </w:r>
    </w:p>
    <w:p w14:paraId="2B04537C" w14:textId="77777777" w:rsidR="000A6483" w:rsidRDefault="00602B57">
      <w:pPr>
        <w:jc w:val="both"/>
        <w:rPr>
          <w:rFonts w:ascii="Verdana" w:hAnsi="Verdana"/>
          <w:sz w:val="22"/>
          <w:szCs w:val="22"/>
        </w:rPr>
      </w:pPr>
      <w:r w:rsidRPr="00A9080E">
        <w:rPr>
          <w:rFonts w:ascii="Verdana" w:hAnsi="Verdana"/>
          <w:sz w:val="22"/>
          <w:szCs w:val="22"/>
          <w:u w:val="single"/>
        </w:rPr>
        <w:t>L’applicazione pratica di questa normativa risulta però incerta e potenzialmente soggetta a valutazioni soggettive</w:t>
      </w:r>
      <w:r w:rsidRPr="00D73819">
        <w:rPr>
          <w:rFonts w:ascii="Verdana" w:hAnsi="Verdana"/>
          <w:sz w:val="22"/>
          <w:szCs w:val="22"/>
        </w:rPr>
        <w:t xml:space="preserve"> – specie nei casi in cui la stima del “valore effettivo” sia fondata su presupposti difficilmente verificabili, come accade nel caso di aziende in fase di </w:t>
      </w:r>
      <w:r w:rsidRPr="000A6483">
        <w:rPr>
          <w:rFonts w:ascii="Verdana" w:hAnsi="Verdana"/>
          <w:i/>
          <w:iCs/>
          <w:sz w:val="22"/>
          <w:szCs w:val="22"/>
        </w:rPr>
        <w:t>turnaround</w:t>
      </w:r>
      <w:r w:rsidRPr="00D73819">
        <w:rPr>
          <w:rFonts w:ascii="Verdana" w:hAnsi="Verdana"/>
          <w:sz w:val="22"/>
          <w:szCs w:val="22"/>
        </w:rPr>
        <w:t xml:space="preserve">. </w:t>
      </w:r>
    </w:p>
    <w:p w14:paraId="3F940AF2" w14:textId="3CD3F900" w:rsidR="00A9080E" w:rsidRDefault="00602B57">
      <w:pPr>
        <w:jc w:val="both"/>
        <w:rPr>
          <w:rFonts w:ascii="Verdana" w:hAnsi="Verdana"/>
          <w:sz w:val="22"/>
          <w:szCs w:val="22"/>
        </w:rPr>
      </w:pPr>
      <w:r w:rsidRPr="00D73819">
        <w:rPr>
          <w:rFonts w:ascii="Verdana" w:hAnsi="Verdana"/>
          <w:sz w:val="22"/>
          <w:szCs w:val="22"/>
        </w:rPr>
        <w:t xml:space="preserve">Sotto il profilo tecnico-estimativo, la determinazione del “valore effettivo” riservato ai soci rappresenta uno dei passaggi più critici. </w:t>
      </w:r>
    </w:p>
    <w:p w14:paraId="42AD9613" w14:textId="483C97DE" w:rsidR="00712D61" w:rsidRPr="000A6483" w:rsidRDefault="00602B57" w:rsidP="00EB19E4">
      <w:pPr>
        <w:jc w:val="both"/>
        <w:rPr>
          <w:rFonts w:ascii="Verdana" w:hAnsi="Verdana"/>
          <w:sz w:val="22"/>
          <w:szCs w:val="22"/>
          <w:u w:val="single"/>
        </w:rPr>
      </w:pPr>
      <w:r w:rsidRPr="000A6483">
        <w:rPr>
          <w:rFonts w:ascii="Verdana" w:hAnsi="Verdana"/>
          <w:sz w:val="22"/>
          <w:szCs w:val="22"/>
          <w:u w:val="single"/>
        </w:rPr>
        <w:t>L’art. 120-quater, comma 2, CCII,</w:t>
      </w:r>
      <w:r w:rsidRPr="00D73819">
        <w:rPr>
          <w:rFonts w:ascii="Verdana" w:hAnsi="Verdana"/>
          <w:sz w:val="22"/>
          <w:szCs w:val="22"/>
        </w:rPr>
        <w:t xml:space="preserve"> come modificato dal D.Lgs. n. 136/2024 (c.d. “Correttivo-ter”), richiede che tale valore sia stimato </w:t>
      </w:r>
      <w:r w:rsidRPr="000A6483">
        <w:rPr>
          <w:rFonts w:ascii="Verdana" w:hAnsi="Verdana"/>
          <w:sz w:val="22"/>
          <w:szCs w:val="22"/>
          <w:u w:val="single"/>
        </w:rPr>
        <w:t>“in conformità ai principi contabili applicabili per la determinazione del valore d’uso</w:t>
      </w:r>
      <w:r w:rsidR="00EB19E4" w:rsidRPr="000A6483">
        <w:rPr>
          <w:rFonts w:ascii="Verdana" w:hAnsi="Verdana"/>
          <w:sz w:val="22"/>
          <w:szCs w:val="22"/>
          <w:u w:val="single"/>
        </w:rPr>
        <w:t>,</w:t>
      </w:r>
      <w:r w:rsidR="00712D61" w:rsidRPr="000A6483">
        <w:rPr>
          <w:rFonts w:ascii="Verdana" w:hAnsi="Verdana"/>
          <w:sz w:val="22"/>
          <w:szCs w:val="22"/>
          <w:u w:val="single"/>
        </w:rPr>
        <w:t xml:space="preserve"> sulla base del valore attuale dei flussi finanziari futuri risultanti dal piano, con estrapolazione delle proiezioni anche per gli anni successivi</w:t>
      </w:r>
      <w:r w:rsidR="00EB19E4" w:rsidRPr="000A6483">
        <w:rPr>
          <w:rFonts w:ascii="Verdana" w:hAnsi="Verdana"/>
          <w:sz w:val="22"/>
          <w:szCs w:val="22"/>
          <w:u w:val="single"/>
        </w:rPr>
        <w:t>”</w:t>
      </w:r>
      <w:r w:rsidR="00712D61" w:rsidRPr="000A6483">
        <w:rPr>
          <w:rFonts w:ascii="Verdana" w:hAnsi="Verdana"/>
          <w:sz w:val="22"/>
          <w:szCs w:val="22"/>
          <w:u w:val="single"/>
        </w:rPr>
        <w:t>.</w:t>
      </w:r>
    </w:p>
    <w:p w14:paraId="65BED7DD" w14:textId="22A76991" w:rsidR="001D3525" w:rsidRPr="00D73819" w:rsidRDefault="001D3525" w:rsidP="001D3525">
      <w:pPr>
        <w:jc w:val="both"/>
        <w:rPr>
          <w:rFonts w:ascii="Verdana" w:hAnsi="Verdana"/>
          <w:sz w:val="22"/>
          <w:szCs w:val="22"/>
        </w:rPr>
      </w:pPr>
      <w:r w:rsidRPr="00D73819">
        <w:rPr>
          <w:rFonts w:ascii="Verdana" w:hAnsi="Verdana"/>
          <w:sz w:val="22"/>
          <w:szCs w:val="22"/>
        </w:rPr>
        <w:t xml:space="preserve">Si tratta, quindi, di un </w:t>
      </w:r>
      <w:r w:rsidRPr="000A6483">
        <w:rPr>
          <w:rFonts w:ascii="Verdana" w:hAnsi="Verdana"/>
          <w:sz w:val="22"/>
          <w:szCs w:val="22"/>
          <w:u w:val="single"/>
        </w:rPr>
        <w:t>criterio dinamico, fondato sui flussi futuri</w:t>
      </w:r>
      <w:r w:rsidRPr="00D73819">
        <w:rPr>
          <w:rFonts w:ascii="Verdana" w:hAnsi="Verdana"/>
          <w:sz w:val="22"/>
          <w:szCs w:val="22"/>
        </w:rPr>
        <w:t xml:space="preserve"> e non sul mero valore contabile della partecipazione.</w:t>
      </w:r>
    </w:p>
    <w:p w14:paraId="656C27CD" w14:textId="77777777" w:rsidR="001D3525" w:rsidRPr="00D73819" w:rsidRDefault="001D3525" w:rsidP="001D3525">
      <w:pPr>
        <w:jc w:val="both"/>
        <w:rPr>
          <w:rFonts w:ascii="Verdana" w:hAnsi="Verdana"/>
          <w:sz w:val="22"/>
          <w:szCs w:val="22"/>
        </w:rPr>
      </w:pPr>
      <w:r w:rsidRPr="00D73819">
        <w:rPr>
          <w:rFonts w:ascii="Verdana" w:hAnsi="Verdana"/>
          <w:sz w:val="22"/>
          <w:szCs w:val="22"/>
        </w:rPr>
        <w:t>Tale ricchezza non costituisce un diritto assoluto dei soci. Essa è piuttosto uno strumento negoziale, volto a incentivare i soci a non ostacolare il risanamento e, se del caso, ad apportare risorse nuove. La quota di valore sottratta alla contesa con i creditori è infatti essenzialmente quella corrispondente agli apporti effettuati dai soci ai fini della ristrutturazione, in forma di conferimenti, versamenti a fondo perduto o altre forme funzionali al piano.</w:t>
      </w:r>
    </w:p>
    <w:p w14:paraId="2315B190" w14:textId="668F4A7C" w:rsidR="002D6997" w:rsidRPr="000A6483" w:rsidRDefault="00EA02F1" w:rsidP="002D6997">
      <w:pPr>
        <w:jc w:val="both"/>
        <w:rPr>
          <w:rFonts w:ascii="Verdana" w:hAnsi="Verdana"/>
          <w:sz w:val="22"/>
          <w:szCs w:val="22"/>
          <w:u w:val="single"/>
        </w:rPr>
      </w:pPr>
      <w:r w:rsidRPr="00D73819">
        <w:rPr>
          <w:rFonts w:ascii="Verdana" w:hAnsi="Verdana"/>
          <w:sz w:val="22"/>
          <w:szCs w:val="22"/>
        </w:rPr>
        <w:t>È</w:t>
      </w:r>
      <w:r w:rsidR="002D6997" w:rsidRPr="00D73819">
        <w:rPr>
          <w:rFonts w:ascii="Verdana" w:hAnsi="Verdana"/>
          <w:sz w:val="22"/>
          <w:szCs w:val="22"/>
        </w:rPr>
        <w:t xml:space="preserve"> stato tuttavia evidenziato che il </w:t>
      </w:r>
      <w:r w:rsidR="002D6997" w:rsidRPr="00B516A9">
        <w:rPr>
          <w:rFonts w:ascii="Verdana" w:hAnsi="Verdana"/>
          <w:sz w:val="22"/>
          <w:szCs w:val="22"/>
          <w:u w:val="single"/>
        </w:rPr>
        <w:t xml:space="preserve">rinvio </w:t>
      </w:r>
      <w:r w:rsidR="0046307A" w:rsidRPr="00B516A9">
        <w:rPr>
          <w:rFonts w:ascii="Verdana" w:hAnsi="Verdana"/>
          <w:sz w:val="22"/>
          <w:szCs w:val="22"/>
          <w:u w:val="single"/>
        </w:rPr>
        <w:t xml:space="preserve">contenuto nella disposizione </w:t>
      </w:r>
      <w:r w:rsidR="00CE2C3D" w:rsidRPr="00B516A9">
        <w:rPr>
          <w:rFonts w:ascii="Verdana" w:hAnsi="Verdana"/>
          <w:sz w:val="22"/>
          <w:szCs w:val="22"/>
          <w:u w:val="single"/>
        </w:rPr>
        <w:t xml:space="preserve">può </w:t>
      </w:r>
      <w:r w:rsidR="002D6997" w:rsidRPr="00B516A9">
        <w:rPr>
          <w:rFonts w:ascii="Verdana" w:hAnsi="Verdana"/>
          <w:sz w:val="22"/>
          <w:szCs w:val="22"/>
          <w:u w:val="single"/>
        </w:rPr>
        <w:t>genera</w:t>
      </w:r>
      <w:r w:rsidR="000048D7">
        <w:rPr>
          <w:rFonts w:ascii="Verdana" w:hAnsi="Verdana"/>
          <w:sz w:val="22"/>
          <w:szCs w:val="22"/>
          <w:u w:val="single"/>
        </w:rPr>
        <w:t>re</w:t>
      </w:r>
      <w:r w:rsidR="002D6997" w:rsidRPr="00B516A9">
        <w:rPr>
          <w:rFonts w:ascii="Verdana" w:hAnsi="Verdana"/>
          <w:sz w:val="22"/>
          <w:szCs w:val="22"/>
          <w:u w:val="single"/>
        </w:rPr>
        <w:t xml:space="preserve"> </w:t>
      </w:r>
      <w:r w:rsidR="00CE2C3D" w:rsidRPr="00B516A9">
        <w:rPr>
          <w:rFonts w:ascii="Verdana" w:hAnsi="Verdana"/>
          <w:sz w:val="22"/>
          <w:szCs w:val="22"/>
          <w:u w:val="single"/>
        </w:rPr>
        <w:t>incertezza</w:t>
      </w:r>
      <w:r w:rsidR="002D6997" w:rsidRPr="00D73819">
        <w:rPr>
          <w:rFonts w:ascii="Verdana" w:hAnsi="Verdana"/>
          <w:sz w:val="22"/>
          <w:szCs w:val="22"/>
        </w:rPr>
        <w:t xml:space="preserve">: il valore d’uso – per definizione – esclude i flussi finanziari derivanti da miglioramenti futuri, mentre la ragion d’essere di un piano di ristrutturazione si fonda proprio su tali miglioramenti. Si crea così un evidente </w:t>
      </w:r>
      <w:r w:rsidR="002D6997" w:rsidRPr="000A6483">
        <w:rPr>
          <w:rFonts w:ascii="Verdana" w:hAnsi="Verdana"/>
          <w:sz w:val="22"/>
          <w:szCs w:val="22"/>
          <w:u w:val="single"/>
        </w:rPr>
        <w:t>cortocircuito tra la configurazione di valore imposta dalla norma e il contenuto economico del piano che dovrebbe essere usato per stimare quel valore.</w:t>
      </w:r>
    </w:p>
    <w:p w14:paraId="7F3EB0E8" w14:textId="77777777" w:rsidR="002D6997" w:rsidRPr="00D73819" w:rsidRDefault="002D6997" w:rsidP="001D3525">
      <w:pPr>
        <w:jc w:val="both"/>
        <w:rPr>
          <w:rFonts w:ascii="Verdana" w:hAnsi="Verdana"/>
          <w:sz w:val="22"/>
          <w:szCs w:val="22"/>
        </w:rPr>
      </w:pPr>
    </w:p>
    <w:p w14:paraId="4DBAB792" w14:textId="54019D14" w:rsidR="00696363" w:rsidRPr="00D73819" w:rsidRDefault="008329B8" w:rsidP="00712D61">
      <w:pPr>
        <w:jc w:val="both"/>
        <w:rPr>
          <w:rFonts w:ascii="Verdana" w:hAnsi="Verdana"/>
          <w:sz w:val="22"/>
          <w:szCs w:val="22"/>
          <w:u w:val="single"/>
        </w:rPr>
      </w:pPr>
      <w:r w:rsidRPr="00D73819">
        <w:rPr>
          <w:rFonts w:ascii="Verdana" w:hAnsi="Verdana"/>
          <w:sz w:val="22"/>
          <w:szCs w:val="22"/>
          <w:u w:val="single"/>
        </w:rPr>
        <w:t>Ancora,</w:t>
      </w:r>
      <w:r w:rsidR="00EB7216" w:rsidRPr="00D73819">
        <w:rPr>
          <w:rFonts w:ascii="Verdana" w:hAnsi="Verdana"/>
          <w:sz w:val="22"/>
          <w:szCs w:val="22"/>
          <w:u w:val="single"/>
        </w:rPr>
        <w:t xml:space="preserve"> l</w:t>
      </w:r>
      <w:r w:rsidR="007E7441" w:rsidRPr="00D73819">
        <w:rPr>
          <w:rFonts w:ascii="Verdana" w:hAnsi="Verdana"/>
          <w:sz w:val="22"/>
          <w:szCs w:val="22"/>
          <w:u w:val="single"/>
        </w:rPr>
        <w:t>’individuazione, in concreto, di tale valore</w:t>
      </w:r>
      <w:r w:rsidR="009A4761" w:rsidRPr="00D73819">
        <w:rPr>
          <w:rFonts w:ascii="Verdana" w:hAnsi="Verdana"/>
          <w:sz w:val="22"/>
          <w:szCs w:val="22"/>
          <w:u w:val="single"/>
        </w:rPr>
        <w:t xml:space="preserve"> </w:t>
      </w:r>
      <w:r w:rsidR="00EB7216" w:rsidRPr="00D73819">
        <w:rPr>
          <w:rFonts w:ascii="Verdana" w:hAnsi="Verdana"/>
          <w:sz w:val="22"/>
          <w:szCs w:val="22"/>
          <w:u w:val="single"/>
        </w:rPr>
        <w:t xml:space="preserve">può essere </w:t>
      </w:r>
      <w:r w:rsidR="009A4761" w:rsidRPr="00D73819">
        <w:rPr>
          <w:rFonts w:ascii="Verdana" w:hAnsi="Verdana"/>
          <w:sz w:val="22"/>
          <w:szCs w:val="22"/>
          <w:u w:val="single"/>
        </w:rPr>
        <w:t>fonte di molte incertezze.</w:t>
      </w:r>
    </w:p>
    <w:p w14:paraId="2FC2012A" w14:textId="77777777" w:rsidR="00712D61" w:rsidRPr="008F718D" w:rsidRDefault="00712D61" w:rsidP="00712D61">
      <w:pPr>
        <w:jc w:val="both"/>
        <w:rPr>
          <w:rFonts w:ascii="Verdana" w:hAnsi="Verdana"/>
          <w:sz w:val="22"/>
          <w:szCs w:val="22"/>
        </w:rPr>
      </w:pPr>
      <w:r w:rsidRPr="000048D7">
        <w:rPr>
          <w:rFonts w:ascii="Verdana" w:hAnsi="Verdana"/>
          <w:sz w:val="22"/>
          <w:szCs w:val="22"/>
          <w:u w:val="single"/>
        </w:rPr>
        <w:t xml:space="preserve">La valutazione non si limita ai flussi previsti durante il periodo del piano, normalmente di quattro o cinque anni, ma richiede di considerare anche proiezioni successive. </w:t>
      </w:r>
      <w:r w:rsidRPr="008F718D">
        <w:rPr>
          <w:rFonts w:ascii="Verdana" w:hAnsi="Verdana"/>
          <w:sz w:val="22"/>
          <w:szCs w:val="22"/>
        </w:rPr>
        <w:t>Questo significa che il valore delle partecipazioni può dipendere da stime di lungo periodo, talvolta proiettate per molti anni oltre la durata del piano.</w:t>
      </w:r>
    </w:p>
    <w:p w14:paraId="429B39EA" w14:textId="77777777" w:rsidR="000048D7" w:rsidRDefault="000048D7" w:rsidP="00712D61">
      <w:pPr>
        <w:jc w:val="both"/>
        <w:rPr>
          <w:rFonts w:ascii="Verdana" w:hAnsi="Verdana"/>
          <w:sz w:val="22"/>
          <w:szCs w:val="22"/>
        </w:rPr>
      </w:pPr>
    </w:p>
    <w:p w14:paraId="28D40653" w14:textId="221EF7A8" w:rsidR="000048D7" w:rsidRPr="008F718D" w:rsidRDefault="000048D7" w:rsidP="00712D61">
      <w:pPr>
        <w:jc w:val="both"/>
        <w:rPr>
          <w:rFonts w:ascii="Verdana" w:hAnsi="Verdana"/>
          <w:sz w:val="22"/>
          <w:szCs w:val="22"/>
          <w:u w:val="single"/>
        </w:rPr>
      </w:pPr>
      <w:r w:rsidRPr="008F718D">
        <w:rPr>
          <w:rFonts w:ascii="Verdana" w:hAnsi="Verdana"/>
          <w:sz w:val="22"/>
          <w:szCs w:val="22"/>
          <w:u w:val="single"/>
        </w:rPr>
        <w:t xml:space="preserve">Nel complesso, </w:t>
      </w:r>
      <w:r w:rsidR="008F718D" w:rsidRPr="008F718D">
        <w:rPr>
          <w:rFonts w:ascii="Verdana" w:hAnsi="Verdana"/>
          <w:sz w:val="22"/>
          <w:szCs w:val="22"/>
          <w:u w:val="single"/>
        </w:rPr>
        <w:t xml:space="preserve">la disciplina </w:t>
      </w:r>
      <w:r w:rsidR="00712D61" w:rsidRPr="008F718D">
        <w:rPr>
          <w:rFonts w:ascii="Verdana" w:hAnsi="Verdana"/>
          <w:sz w:val="22"/>
          <w:szCs w:val="22"/>
          <w:u w:val="single"/>
        </w:rPr>
        <w:t xml:space="preserve">genera un’incertezza molto elevata. </w:t>
      </w:r>
    </w:p>
    <w:p w14:paraId="6BD350A9" w14:textId="5B682814" w:rsidR="008F718D" w:rsidRDefault="00712D61" w:rsidP="00712D61">
      <w:pPr>
        <w:jc w:val="both"/>
        <w:rPr>
          <w:rFonts w:ascii="Verdana" w:hAnsi="Verdana"/>
          <w:sz w:val="22"/>
          <w:szCs w:val="22"/>
        </w:rPr>
      </w:pPr>
      <w:r w:rsidRPr="00D73819">
        <w:rPr>
          <w:rFonts w:ascii="Verdana" w:hAnsi="Verdana"/>
          <w:sz w:val="22"/>
          <w:szCs w:val="22"/>
        </w:rPr>
        <w:t xml:space="preserve">Il valore effettivo dipende almeno da </w:t>
      </w:r>
      <w:r w:rsidRPr="004F1538">
        <w:rPr>
          <w:rFonts w:ascii="Verdana" w:hAnsi="Verdana"/>
          <w:sz w:val="22"/>
          <w:szCs w:val="22"/>
          <w:u w:val="single"/>
        </w:rPr>
        <w:t>tre fattori</w:t>
      </w:r>
      <w:r w:rsidRPr="00D73819">
        <w:rPr>
          <w:rFonts w:ascii="Verdana" w:hAnsi="Verdana"/>
          <w:sz w:val="22"/>
          <w:szCs w:val="22"/>
        </w:rPr>
        <w:t xml:space="preserve">: i flussi finanziari futuri, il tasso di attualizzazione </w:t>
      </w:r>
      <w:r w:rsidR="002D038B">
        <w:rPr>
          <w:rFonts w:ascii="Verdana" w:hAnsi="Verdana"/>
          <w:sz w:val="22"/>
          <w:szCs w:val="22"/>
        </w:rPr>
        <w:t xml:space="preserve">e </w:t>
      </w:r>
      <w:r w:rsidRPr="00D73819">
        <w:rPr>
          <w:rFonts w:ascii="Verdana" w:hAnsi="Verdana"/>
          <w:sz w:val="22"/>
          <w:szCs w:val="22"/>
        </w:rPr>
        <w:t xml:space="preserve">la durata delle proiezioni ultra-piano. </w:t>
      </w:r>
    </w:p>
    <w:p w14:paraId="40B36985" w14:textId="4A103BCF" w:rsidR="00712D61" w:rsidRPr="00D73819" w:rsidRDefault="00712D61" w:rsidP="00712D61">
      <w:pPr>
        <w:jc w:val="both"/>
        <w:rPr>
          <w:rFonts w:ascii="Verdana" w:hAnsi="Verdana"/>
          <w:sz w:val="22"/>
          <w:szCs w:val="22"/>
        </w:rPr>
      </w:pPr>
      <w:r w:rsidRPr="004F1538">
        <w:rPr>
          <w:rFonts w:ascii="Verdana" w:hAnsi="Verdana"/>
          <w:sz w:val="22"/>
          <w:szCs w:val="22"/>
          <w:u w:val="single"/>
        </w:rPr>
        <w:t>Ciascuno di questi elementi è opinabile; la loro combinazione può condurre a risultati molto diversi</w:t>
      </w:r>
      <w:r w:rsidRPr="00D73819">
        <w:rPr>
          <w:rFonts w:ascii="Verdana" w:hAnsi="Verdana"/>
          <w:sz w:val="22"/>
          <w:szCs w:val="22"/>
        </w:rPr>
        <w:t>.</w:t>
      </w:r>
    </w:p>
    <w:p w14:paraId="5F178EA5" w14:textId="77777777" w:rsidR="009A34E6" w:rsidRPr="00D73819" w:rsidRDefault="00712D61" w:rsidP="00712D61">
      <w:pPr>
        <w:jc w:val="both"/>
        <w:rPr>
          <w:rFonts w:ascii="Verdana" w:hAnsi="Verdana"/>
          <w:sz w:val="22"/>
          <w:szCs w:val="22"/>
        </w:rPr>
      </w:pPr>
      <w:r w:rsidRPr="00D73819">
        <w:rPr>
          <w:rFonts w:ascii="Verdana" w:hAnsi="Verdana"/>
          <w:sz w:val="22"/>
          <w:szCs w:val="22"/>
        </w:rPr>
        <w:t xml:space="preserve">La conseguenza è duplice. </w:t>
      </w:r>
    </w:p>
    <w:p w14:paraId="0CFD180E" w14:textId="77777777" w:rsidR="009A34E6" w:rsidRPr="00D73819" w:rsidRDefault="00712D61" w:rsidP="00712D61">
      <w:pPr>
        <w:jc w:val="both"/>
        <w:rPr>
          <w:rFonts w:ascii="Verdana" w:hAnsi="Verdana"/>
          <w:sz w:val="22"/>
          <w:szCs w:val="22"/>
        </w:rPr>
      </w:pPr>
      <w:r w:rsidRPr="00D73819">
        <w:rPr>
          <w:rFonts w:ascii="Verdana" w:hAnsi="Verdana"/>
          <w:sz w:val="22"/>
          <w:szCs w:val="22"/>
        </w:rPr>
        <w:t xml:space="preserve">In primo luogo, </w:t>
      </w:r>
      <w:r w:rsidRPr="004F1538">
        <w:rPr>
          <w:rFonts w:ascii="Verdana" w:hAnsi="Verdana"/>
          <w:sz w:val="22"/>
          <w:szCs w:val="22"/>
          <w:u w:val="single"/>
        </w:rPr>
        <w:t>aumenta l’incertezza ex ante</w:t>
      </w:r>
      <w:r w:rsidRPr="00D73819">
        <w:rPr>
          <w:rFonts w:ascii="Verdana" w:hAnsi="Verdana"/>
          <w:sz w:val="22"/>
          <w:szCs w:val="22"/>
        </w:rPr>
        <w:t xml:space="preserve">, perché chi redige il piano non può prevedere con sicurezza quale valore sarà attribuito alle partecipazioni. </w:t>
      </w:r>
    </w:p>
    <w:p w14:paraId="3DE3F52C" w14:textId="25C83745" w:rsidR="00712D61" w:rsidRPr="00D73819" w:rsidRDefault="00712D61" w:rsidP="00712D61">
      <w:pPr>
        <w:jc w:val="both"/>
        <w:rPr>
          <w:rFonts w:ascii="Verdana" w:hAnsi="Verdana"/>
          <w:sz w:val="22"/>
          <w:szCs w:val="22"/>
        </w:rPr>
      </w:pPr>
      <w:r w:rsidRPr="00D73819">
        <w:rPr>
          <w:rFonts w:ascii="Verdana" w:hAnsi="Verdana"/>
          <w:sz w:val="22"/>
          <w:szCs w:val="22"/>
        </w:rPr>
        <w:t xml:space="preserve">In secondo luogo, </w:t>
      </w:r>
      <w:r w:rsidRPr="004F1538">
        <w:rPr>
          <w:rFonts w:ascii="Verdana" w:hAnsi="Verdana"/>
          <w:sz w:val="22"/>
          <w:szCs w:val="22"/>
          <w:u w:val="single"/>
        </w:rPr>
        <w:t>aumenta il rischio ex post</w:t>
      </w:r>
      <w:r w:rsidRPr="00D73819">
        <w:rPr>
          <w:rFonts w:ascii="Verdana" w:hAnsi="Verdana"/>
          <w:sz w:val="22"/>
          <w:szCs w:val="22"/>
        </w:rPr>
        <w:t>, perché in sede di omologazione le parti potranno contestare le valutazioni, dando luogo a un conflitto tra perizie.</w:t>
      </w:r>
    </w:p>
    <w:p w14:paraId="5886777A" w14:textId="77777777" w:rsidR="004F1538" w:rsidRDefault="006F5718" w:rsidP="00712D61">
      <w:pPr>
        <w:jc w:val="both"/>
        <w:rPr>
          <w:rFonts w:ascii="Verdana" w:hAnsi="Verdana"/>
          <w:sz w:val="22"/>
          <w:szCs w:val="22"/>
        </w:rPr>
      </w:pPr>
      <w:r w:rsidRPr="004F1538">
        <w:rPr>
          <w:rFonts w:ascii="Verdana" w:hAnsi="Verdana"/>
          <w:sz w:val="22"/>
          <w:szCs w:val="22"/>
          <w:u w:val="single"/>
        </w:rPr>
        <w:t>Il</w:t>
      </w:r>
      <w:r w:rsidR="00712D61" w:rsidRPr="004F1538">
        <w:rPr>
          <w:rFonts w:ascii="Verdana" w:hAnsi="Verdana"/>
          <w:sz w:val="22"/>
          <w:szCs w:val="22"/>
          <w:u w:val="single"/>
        </w:rPr>
        <w:t xml:space="preserve"> piano dovrà comunque indicare il valore di ristrutturazione</w:t>
      </w:r>
      <w:r w:rsidR="00712D61" w:rsidRPr="00D73819">
        <w:rPr>
          <w:rFonts w:ascii="Verdana" w:hAnsi="Verdana"/>
          <w:sz w:val="22"/>
          <w:szCs w:val="22"/>
        </w:rPr>
        <w:t xml:space="preserve">, per ragioni di trasparenza nei confronti dei creditori. </w:t>
      </w:r>
    </w:p>
    <w:p w14:paraId="6D417B5D" w14:textId="4C579F48" w:rsidR="00712D61" w:rsidRPr="00D73819" w:rsidRDefault="00712D61" w:rsidP="00712D61">
      <w:pPr>
        <w:jc w:val="both"/>
        <w:rPr>
          <w:rFonts w:ascii="Verdana" w:hAnsi="Verdana"/>
          <w:sz w:val="22"/>
          <w:szCs w:val="22"/>
        </w:rPr>
      </w:pPr>
      <w:r w:rsidRPr="004F1538">
        <w:rPr>
          <w:rFonts w:ascii="Verdana" w:hAnsi="Verdana"/>
          <w:sz w:val="22"/>
          <w:szCs w:val="22"/>
          <w:u w:val="single"/>
        </w:rPr>
        <w:t>Tuttavia, la relazione dell’attestatore non sembra necessariamente estendersi alla correttezza delle proiezioni ultra-piano</w:t>
      </w:r>
      <w:r w:rsidRPr="00D73819">
        <w:rPr>
          <w:rFonts w:ascii="Verdana" w:hAnsi="Verdana"/>
          <w:sz w:val="22"/>
          <w:szCs w:val="22"/>
        </w:rPr>
        <w:t>. Il tribunale potrebbe dunque trovarsi a decidere su questioni valutative estremamente complesse senza un adeguato supporto attestativo.</w:t>
      </w:r>
    </w:p>
    <w:p w14:paraId="2CC18D36" w14:textId="77777777" w:rsidR="00D97F2C" w:rsidRPr="00D73819" w:rsidRDefault="00D97F2C" w:rsidP="00712D61">
      <w:pPr>
        <w:jc w:val="both"/>
        <w:rPr>
          <w:rFonts w:ascii="Verdana" w:hAnsi="Verdana"/>
          <w:sz w:val="22"/>
          <w:szCs w:val="22"/>
        </w:rPr>
      </w:pPr>
    </w:p>
    <w:p w14:paraId="1A0E08D7" w14:textId="15D1CD66" w:rsidR="00712D61" w:rsidRPr="00D73819" w:rsidRDefault="00712D61" w:rsidP="00712D61">
      <w:pPr>
        <w:jc w:val="both"/>
        <w:rPr>
          <w:rFonts w:ascii="Verdana" w:hAnsi="Verdana"/>
          <w:b/>
          <w:bCs/>
          <w:sz w:val="22"/>
          <w:szCs w:val="22"/>
        </w:rPr>
      </w:pPr>
      <w:r w:rsidRPr="00D73819">
        <w:rPr>
          <w:rFonts w:ascii="Verdana" w:hAnsi="Verdana"/>
          <w:b/>
          <w:bCs/>
          <w:sz w:val="22"/>
          <w:szCs w:val="22"/>
        </w:rPr>
        <w:t>5. Il valore apportato dai soci</w:t>
      </w:r>
    </w:p>
    <w:p w14:paraId="6A1704D3" w14:textId="77777777" w:rsidR="0027177F" w:rsidRDefault="0027177F" w:rsidP="00712D61">
      <w:pPr>
        <w:jc w:val="both"/>
        <w:rPr>
          <w:rFonts w:ascii="Verdana" w:hAnsi="Verdana"/>
          <w:sz w:val="22"/>
          <w:szCs w:val="22"/>
        </w:rPr>
      </w:pPr>
    </w:p>
    <w:p w14:paraId="2EF04ECB" w14:textId="27685F26" w:rsidR="00EC71EB" w:rsidRDefault="00712D61" w:rsidP="00712D61">
      <w:pPr>
        <w:jc w:val="both"/>
        <w:rPr>
          <w:rFonts w:ascii="Verdana" w:hAnsi="Verdana"/>
          <w:sz w:val="22"/>
          <w:szCs w:val="22"/>
        </w:rPr>
      </w:pPr>
      <w:r w:rsidRPr="00D73819">
        <w:rPr>
          <w:rFonts w:ascii="Verdana" w:hAnsi="Verdana"/>
          <w:sz w:val="22"/>
          <w:szCs w:val="22"/>
        </w:rPr>
        <w:t xml:space="preserve">Una volta determinato il valore effettivo delle partecipazioni, occorre dedurre il valore degli apporti effettuati dai soci ai fini della ristrutturazione. </w:t>
      </w:r>
    </w:p>
    <w:p w14:paraId="2775DA07" w14:textId="0D166368" w:rsidR="00712D61" w:rsidRPr="00EC71EB" w:rsidRDefault="00712D61" w:rsidP="00712D61">
      <w:pPr>
        <w:jc w:val="both"/>
        <w:rPr>
          <w:rFonts w:ascii="Verdana" w:hAnsi="Verdana"/>
          <w:sz w:val="22"/>
          <w:szCs w:val="22"/>
          <w:u w:val="single"/>
        </w:rPr>
      </w:pPr>
      <w:r w:rsidRPr="00EC71EB">
        <w:rPr>
          <w:rFonts w:ascii="Verdana" w:hAnsi="Verdana"/>
          <w:sz w:val="22"/>
          <w:szCs w:val="22"/>
          <w:u w:val="single"/>
        </w:rPr>
        <w:t>Il valore riservato ai soci è infatti dato dal valore effettivo delle partecipazioni meno il valore apportato dai soci.</w:t>
      </w:r>
    </w:p>
    <w:p w14:paraId="6F3A01AD" w14:textId="759BAF84" w:rsidR="00712D61" w:rsidRPr="00D73819" w:rsidRDefault="00712D61" w:rsidP="00712D61">
      <w:pPr>
        <w:jc w:val="both"/>
        <w:rPr>
          <w:rFonts w:ascii="Verdana" w:hAnsi="Verdana"/>
          <w:sz w:val="22"/>
          <w:szCs w:val="22"/>
          <w:u w:val="single"/>
        </w:rPr>
      </w:pPr>
      <w:r w:rsidRPr="00D73819">
        <w:rPr>
          <w:rFonts w:ascii="Verdana" w:hAnsi="Verdana"/>
          <w:sz w:val="22"/>
          <w:szCs w:val="22"/>
          <w:u w:val="single"/>
        </w:rPr>
        <w:t>Anche quest</w:t>
      </w:r>
      <w:r w:rsidR="007E7E60" w:rsidRPr="00D73819">
        <w:rPr>
          <w:rFonts w:ascii="Verdana" w:hAnsi="Verdana"/>
          <w:sz w:val="22"/>
          <w:szCs w:val="22"/>
          <w:u w:val="single"/>
        </w:rPr>
        <w:t>o</w:t>
      </w:r>
      <w:r w:rsidRPr="00D73819">
        <w:rPr>
          <w:rFonts w:ascii="Verdana" w:hAnsi="Verdana"/>
          <w:sz w:val="22"/>
          <w:szCs w:val="22"/>
          <w:u w:val="single"/>
        </w:rPr>
        <w:t xml:space="preserve"> </w:t>
      </w:r>
      <w:r w:rsidR="007E7E60" w:rsidRPr="00D73819">
        <w:rPr>
          <w:rFonts w:ascii="Verdana" w:hAnsi="Verdana"/>
          <w:sz w:val="22"/>
          <w:szCs w:val="22"/>
          <w:u w:val="single"/>
        </w:rPr>
        <w:t xml:space="preserve">tema può essere </w:t>
      </w:r>
      <w:r w:rsidRPr="00D73819">
        <w:rPr>
          <w:rFonts w:ascii="Verdana" w:hAnsi="Verdana"/>
          <w:sz w:val="22"/>
          <w:szCs w:val="22"/>
          <w:u w:val="single"/>
        </w:rPr>
        <w:t>fonte di molte incertezze.</w:t>
      </w:r>
    </w:p>
    <w:p w14:paraId="1F5F4076" w14:textId="77777777" w:rsidR="00712D61" w:rsidRPr="00EC71EB" w:rsidRDefault="00712D61" w:rsidP="00712D61">
      <w:pPr>
        <w:jc w:val="both"/>
        <w:rPr>
          <w:rFonts w:ascii="Verdana" w:hAnsi="Verdana"/>
          <w:sz w:val="22"/>
          <w:szCs w:val="22"/>
          <w:u w:val="single"/>
        </w:rPr>
      </w:pPr>
      <w:r w:rsidRPr="00D73819">
        <w:rPr>
          <w:rFonts w:ascii="Verdana" w:hAnsi="Verdana"/>
          <w:sz w:val="22"/>
          <w:szCs w:val="22"/>
        </w:rPr>
        <w:t xml:space="preserve">La norma menziona espressamente i </w:t>
      </w:r>
      <w:r w:rsidRPr="0027177F">
        <w:rPr>
          <w:rFonts w:ascii="Verdana" w:hAnsi="Verdana"/>
          <w:sz w:val="22"/>
          <w:szCs w:val="22"/>
          <w:u w:val="single"/>
        </w:rPr>
        <w:t xml:space="preserve">conferimenti e i versamenti a fondo perduto. </w:t>
      </w:r>
      <w:r w:rsidRPr="00EC71EB">
        <w:rPr>
          <w:rFonts w:ascii="Verdana" w:hAnsi="Verdana"/>
          <w:sz w:val="22"/>
          <w:szCs w:val="22"/>
          <w:u w:val="single"/>
        </w:rPr>
        <w:t>Tuttavia, non è sempre chiaro quali operazioni possano rientrare in queste categorie e quali, invece, debbano restarne escluse.</w:t>
      </w:r>
    </w:p>
    <w:p w14:paraId="1CE10EE0" w14:textId="77777777" w:rsidR="00DC125E" w:rsidRPr="00D73819" w:rsidRDefault="00712D61" w:rsidP="00712D61">
      <w:pPr>
        <w:jc w:val="both"/>
        <w:rPr>
          <w:rFonts w:ascii="Verdana" w:hAnsi="Verdana"/>
          <w:sz w:val="22"/>
          <w:szCs w:val="22"/>
        </w:rPr>
      </w:pPr>
      <w:r w:rsidRPr="00D73819">
        <w:rPr>
          <w:rFonts w:ascii="Verdana" w:hAnsi="Verdana"/>
          <w:sz w:val="22"/>
          <w:szCs w:val="22"/>
        </w:rPr>
        <w:t xml:space="preserve">Per quanto riguarda i conferimenti, </w:t>
      </w:r>
      <w:r w:rsidRPr="00EC71EB">
        <w:rPr>
          <w:rFonts w:ascii="Verdana" w:hAnsi="Verdana"/>
          <w:sz w:val="22"/>
          <w:szCs w:val="22"/>
          <w:u w:val="single"/>
        </w:rPr>
        <w:t>il caso più lineare è quello di un aumento di capitale sottoscritto dai soci</w:t>
      </w:r>
      <w:r w:rsidRPr="00D73819">
        <w:rPr>
          <w:rFonts w:ascii="Verdana" w:hAnsi="Verdana"/>
          <w:sz w:val="22"/>
          <w:szCs w:val="22"/>
        </w:rPr>
        <w:t xml:space="preserve">, con apporto di nuove risorse destinate alla ristrutturazione. </w:t>
      </w:r>
    </w:p>
    <w:p w14:paraId="2438B706" w14:textId="4B97E2B5" w:rsidR="00712D61" w:rsidRPr="00D73819" w:rsidRDefault="00712D61" w:rsidP="00712D61">
      <w:pPr>
        <w:jc w:val="both"/>
        <w:rPr>
          <w:rFonts w:ascii="Verdana" w:hAnsi="Verdana"/>
          <w:sz w:val="22"/>
          <w:szCs w:val="22"/>
        </w:rPr>
      </w:pPr>
      <w:r w:rsidRPr="00D73819">
        <w:rPr>
          <w:rFonts w:ascii="Verdana" w:hAnsi="Verdana"/>
          <w:sz w:val="22"/>
          <w:szCs w:val="22"/>
        </w:rPr>
        <w:t xml:space="preserve">Più problematico è </w:t>
      </w:r>
      <w:r w:rsidRPr="00EC71EB">
        <w:rPr>
          <w:rFonts w:ascii="Verdana" w:hAnsi="Verdana"/>
          <w:sz w:val="22"/>
          <w:szCs w:val="22"/>
          <w:u w:val="single"/>
        </w:rPr>
        <w:t>il caso in cui l’aumento di capitale venga eseguito mediante conversione di crediti dei soci</w:t>
      </w:r>
      <w:r w:rsidRPr="00D73819">
        <w:rPr>
          <w:rFonts w:ascii="Verdana" w:hAnsi="Verdana"/>
          <w:sz w:val="22"/>
          <w:szCs w:val="22"/>
        </w:rPr>
        <w:t xml:space="preserve">, soprattutto se si tratta di </w:t>
      </w:r>
      <w:r w:rsidRPr="0057057D">
        <w:rPr>
          <w:rFonts w:ascii="Verdana" w:hAnsi="Verdana"/>
          <w:sz w:val="22"/>
          <w:szCs w:val="22"/>
          <w:u w:val="single"/>
        </w:rPr>
        <w:t>finanziamenti postergati ex art. 2467 c.c.</w:t>
      </w:r>
      <w:r w:rsidRPr="00D73819">
        <w:rPr>
          <w:rFonts w:ascii="Verdana" w:hAnsi="Verdana"/>
          <w:sz w:val="22"/>
          <w:szCs w:val="22"/>
        </w:rPr>
        <w:t xml:space="preserve"> In questo caso, la società beneficia di un miglioramento patrimoniale, ma non riceve risorse fresche. Ci si domanda allora se tale operazione sia davvero utile ai fini della ristrutturazione e quindi se debba essere considerata come apporto deducibile dal valore delle partecipazioni.</w:t>
      </w:r>
    </w:p>
    <w:p w14:paraId="2ED237F3" w14:textId="77777777" w:rsidR="00712D61" w:rsidRPr="00D73819" w:rsidRDefault="00712D61" w:rsidP="00712D61">
      <w:pPr>
        <w:jc w:val="both"/>
        <w:rPr>
          <w:rFonts w:ascii="Verdana" w:hAnsi="Verdana"/>
          <w:sz w:val="22"/>
          <w:szCs w:val="22"/>
        </w:rPr>
      </w:pPr>
      <w:r w:rsidRPr="00D73819">
        <w:rPr>
          <w:rFonts w:ascii="Verdana" w:hAnsi="Verdana"/>
          <w:sz w:val="22"/>
          <w:szCs w:val="22"/>
        </w:rPr>
        <w:t xml:space="preserve">Analogo dubbio riguarda </w:t>
      </w:r>
      <w:r w:rsidRPr="00053EC0">
        <w:rPr>
          <w:rFonts w:ascii="Verdana" w:hAnsi="Verdana"/>
          <w:sz w:val="22"/>
          <w:szCs w:val="22"/>
          <w:u w:val="single"/>
        </w:rPr>
        <w:t>i finanziamenti soci non rinunciati</w:t>
      </w:r>
      <w:r w:rsidRPr="00D73819">
        <w:rPr>
          <w:rFonts w:ascii="Verdana" w:hAnsi="Verdana"/>
          <w:sz w:val="22"/>
          <w:szCs w:val="22"/>
        </w:rPr>
        <w:t>. Essi possono aver sostenuto la continuità aziendale e quindi aver contribuito alla ristrutturazione, ma non sono né conferimenti né versamenti a fondo perduto. Se il criterio fosse solo finanziario, potrebbero essere considerati rilevanti; se invece occorresse un apporto definitivamente acquisito al patrimonio della società, dovrebbero restare esclusi.</w:t>
      </w:r>
    </w:p>
    <w:p w14:paraId="785B6D73" w14:textId="374D5BE1" w:rsidR="00602B57" w:rsidRPr="00D73819" w:rsidRDefault="00602B57">
      <w:pPr>
        <w:jc w:val="both"/>
        <w:rPr>
          <w:rFonts w:ascii="Verdana" w:hAnsi="Verdana"/>
          <w:sz w:val="22"/>
          <w:szCs w:val="22"/>
        </w:rPr>
      </w:pPr>
      <w:r w:rsidRPr="00D73819">
        <w:rPr>
          <w:rFonts w:ascii="Verdana" w:hAnsi="Verdana"/>
          <w:sz w:val="22"/>
          <w:szCs w:val="22"/>
        </w:rPr>
        <w:t xml:space="preserve">Altra ipotesi è quella dei </w:t>
      </w:r>
      <w:r w:rsidRPr="00053EC0">
        <w:rPr>
          <w:rFonts w:ascii="Verdana" w:hAnsi="Verdana"/>
          <w:sz w:val="22"/>
          <w:szCs w:val="22"/>
          <w:u w:val="single"/>
        </w:rPr>
        <w:t xml:space="preserve">finanziamenti soci prededucibili </w:t>
      </w:r>
      <w:r w:rsidR="0072215C">
        <w:rPr>
          <w:rFonts w:ascii="Verdana" w:hAnsi="Verdana"/>
          <w:sz w:val="22"/>
          <w:szCs w:val="22"/>
          <w:u w:val="single"/>
        </w:rPr>
        <w:t xml:space="preserve">ex art. 102 CCII </w:t>
      </w:r>
      <w:r w:rsidRPr="00053EC0">
        <w:rPr>
          <w:rFonts w:ascii="Verdana" w:hAnsi="Verdana"/>
          <w:sz w:val="22"/>
          <w:szCs w:val="22"/>
          <w:u w:val="single"/>
        </w:rPr>
        <w:t>autorizzati dal tribunale</w:t>
      </w:r>
      <w:r w:rsidR="00CD0908">
        <w:rPr>
          <w:rFonts w:ascii="Verdana" w:hAnsi="Verdana"/>
          <w:sz w:val="22"/>
          <w:szCs w:val="22"/>
          <w:u w:val="single"/>
        </w:rPr>
        <w:t xml:space="preserve"> ex a</w:t>
      </w:r>
      <w:r w:rsidR="00FB30BD">
        <w:rPr>
          <w:rFonts w:ascii="Verdana" w:hAnsi="Verdana"/>
          <w:sz w:val="22"/>
          <w:szCs w:val="22"/>
          <w:u w:val="single"/>
        </w:rPr>
        <w:t>rt. 101 CCII</w:t>
      </w:r>
      <w:r w:rsidRPr="00D73819">
        <w:rPr>
          <w:rFonts w:ascii="Verdana" w:hAnsi="Verdana"/>
          <w:sz w:val="22"/>
          <w:szCs w:val="22"/>
        </w:rPr>
        <w:t>. Qui la finalizzazione alla migliore soddisfazione dei creditori risulta già valutata in sede giudiziale, ma rimane il problema della loro natura, poiché si tratta pur sempre di finanziamenti destinati al rimborso.</w:t>
      </w:r>
    </w:p>
    <w:p w14:paraId="6524F9C4" w14:textId="13E55153" w:rsidR="00A3653F" w:rsidRPr="00D73819" w:rsidRDefault="00712D61" w:rsidP="00A3653F">
      <w:pPr>
        <w:jc w:val="both"/>
        <w:rPr>
          <w:rFonts w:ascii="Verdana" w:hAnsi="Verdana"/>
          <w:sz w:val="22"/>
          <w:szCs w:val="22"/>
        </w:rPr>
      </w:pPr>
      <w:r w:rsidRPr="00D73819">
        <w:rPr>
          <w:rFonts w:ascii="Verdana" w:hAnsi="Verdana"/>
          <w:sz w:val="22"/>
          <w:szCs w:val="22"/>
        </w:rPr>
        <w:t xml:space="preserve">Ulteriori incertezze derivano dalla </w:t>
      </w:r>
      <w:r w:rsidRPr="007029F3">
        <w:rPr>
          <w:rFonts w:ascii="Verdana" w:hAnsi="Verdana"/>
          <w:sz w:val="22"/>
          <w:szCs w:val="22"/>
          <w:u w:val="single"/>
        </w:rPr>
        <w:t>previsione degli apporti “in altra forma</w:t>
      </w:r>
      <w:r w:rsidRPr="00D73819">
        <w:rPr>
          <w:rFonts w:ascii="Verdana" w:hAnsi="Verdana"/>
          <w:sz w:val="22"/>
          <w:szCs w:val="22"/>
        </w:rPr>
        <w:t>”, ammessi per le imprese che rientrano in determinate soglie dimensionali</w:t>
      </w:r>
      <w:r w:rsidR="003D5821">
        <w:rPr>
          <w:rFonts w:ascii="Verdana" w:hAnsi="Verdana"/>
          <w:sz w:val="22"/>
          <w:szCs w:val="22"/>
        </w:rPr>
        <w:t xml:space="preserve"> </w:t>
      </w:r>
    </w:p>
    <w:p w14:paraId="46EB9F48" w14:textId="61C71995" w:rsidR="00712D61" w:rsidRPr="00D73819" w:rsidRDefault="00712D61" w:rsidP="00A3653F">
      <w:pPr>
        <w:jc w:val="both"/>
        <w:rPr>
          <w:rFonts w:ascii="Verdana" w:hAnsi="Verdana"/>
          <w:sz w:val="22"/>
          <w:szCs w:val="22"/>
        </w:rPr>
      </w:pPr>
      <w:r w:rsidRPr="00D73819">
        <w:rPr>
          <w:rFonts w:ascii="Verdana" w:hAnsi="Verdana"/>
          <w:sz w:val="22"/>
          <w:szCs w:val="22"/>
        </w:rPr>
        <w:lastRenderedPageBreak/>
        <w:t xml:space="preserve">Il D.Lgs. n. 136/2024 ha </w:t>
      </w:r>
      <w:r w:rsidRPr="00321CCD">
        <w:rPr>
          <w:rFonts w:ascii="Verdana" w:hAnsi="Verdana"/>
          <w:sz w:val="22"/>
          <w:szCs w:val="22"/>
          <w:u w:val="single"/>
        </w:rPr>
        <w:t>ampliato notevolmente l’ambito di applicazione di questa formula,</w:t>
      </w:r>
      <w:r w:rsidRPr="00D73819">
        <w:rPr>
          <w:rFonts w:ascii="Verdana" w:hAnsi="Verdana"/>
          <w:sz w:val="22"/>
          <w:szCs w:val="22"/>
        </w:rPr>
        <w:t xml:space="preserve"> estendendola a una platea molto ampia di imprese, sostanzialmente micro e piccole imprese</w:t>
      </w:r>
      <w:r w:rsidR="00A3653F">
        <w:rPr>
          <w:rFonts w:ascii="Verdana" w:hAnsi="Verdana"/>
          <w:sz w:val="22"/>
          <w:szCs w:val="22"/>
        </w:rPr>
        <w:t xml:space="preserve">, </w:t>
      </w:r>
      <w:r w:rsidR="00A3653F" w:rsidRPr="00A3653F">
        <w:rPr>
          <w:rFonts w:ascii="Verdana" w:hAnsi="Verdana"/>
          <w:sz w:val="22"/>
          <w:szCs w:val="22"/>
        </w:rPr>
        <w:t xml:space="preserve">che non </w:t>
      </w:r>
      <w:r w:rsidR="00A3653F">
        <w:rPr>
          <w:rFonts w:ascii="Verdana" w:hAnsi="Verdana"/>
          <w:sz w:val="22"/>
          <w:szCs w:val="22"/>
        </w:rPr>
        <w:t>abbiano</w:t>
      </w:r>
      <w:r w:rsidR="00A3653F" w:rsidRPr="00A3653F">
        <w:rPr>
          <w:rFonts w:ascii="Verdana" w:hAnsi="Verdana"/>
          <w:sz w:val="22"/>
          <w:szCs w:val="22"/>
        </w:rPr>
        <w:t xml:space="preserve"> superato,</w:t>
      </w:r>
      <w:r w:rsidR="00A3653F">
        <w:rPr>
          <w:rFonts w:ascii="Verdana" w:hAnsi="Verdana"/>
          <w:sz w:val="22"/>
          <w:szCs w:val="22"/>
        </w:rPr>
        <w:t xml:space="preserve"> </w:t>
      </w:r>
      <w:r w:rsidR="00A3653F" w:rsidRPr="00A3653F">
        <w:rPr>
          <w:rFonts w:ascii="Verdana" w:hAnsi="Verdana"/>
          <w:sz w:val="22"/>
          <w:szCs w:val="22"/>
        </w:rPr>
        <w:t>nell’ultimo esercizio, almeno due dei seguenti requisiti:</w:t>
      </w:r>
      <w:r w:rsidR="00A3653F">
        <w:rPr>
          <w:rFonts w:ascii="Verdana" w:hAnsi="Verdana"/>
          <w:sz w:val="22"/>
          <w:szCs w:val="22"/>
        </w:rPr>
        <w:t xml:space="preserve">  abbiano</w:t>
      </w:r>
      <w:r w:rsidR="00A3653F" w:rsidRPr="00A3653F">
        <w:rPr>
          <w:rFonts w:ascii="Verdana" w:hAnsi="Verdana"/>
          <w:sz w:val="22"/>
          <w:szCs w:val="22"/>
        </w:rPr>
        <w:t xml:space="preserve"> un attivo fino a euro cinque milioni, ricavi netti delle</w:t>
      </w:r>
      <w:r w:rsidR="00A3653F">
        <w:rPr>
          <w:rFonts w:ascii="Verdana" w:hAnsi="Verdana"/>
          <w:sz w:val="22"/>
          <w:szCs w:val="22"/>
        </w:rPr>
        <w:t xml:space="preserve"> </w:t>
      </w:r>
      <w:r w:rsidR="00A3653F" w:rsidRPr="00A3653F">
        <w:rPr>
          <w:rFonts w:ascii="Verdana" w:hAnsi="Verdana"/>
          <w:sz w:val="22"/>
          <w:szCs w:val="22"/>
        </w:rPr>
        <w:t>vendite e delle prestazioni fino a euro dieci milioni</w:t>
      </w:r>
      <w:r w:rsidR="00A3653F">
        <w:rPr>
          <w:rFonts w:ascii="Verdana" w:hAnsi="Verdana"/>
          <w:sz w:val="22"/>
          <w:szCs w:val="22"/>
        </w:rPr>
        <w:t xml:space="preserve"> </w:t>
      </w:r>
      <w:r w:rsidR="00A3653F" w:rsidRPr="00A3653F">
        <w:rPr>
          <w:rFonts w:ascii="Verdana" w:hAnsi="Verdana"/>
          <w:sz w:val="22"/>
          <w:szCs w:val="22"/>
        </w:rPr>
        <w:t>e un numero medio di dipendenti pari a cinquanta</w:t>
      </w:r>
      <w:r w:rsidR="00A3653F" w:rsidRPr="00D73819">
        <w:rPr>
          <w:rFonts w:ascii="Verdana" w:hAnsi="Verdana"/>
          <w:sz w:val="22"/>
          <w:szCs w:val="22"/>
        </w:rPr>
        <w:t>.</w:t>
      </w:r>
    </w:p>
    <w:p w14:paraId="584A7262" w14:textId="19ED7014" w:rsidR="00712D61" w:rsidRPr="00D73819" w:rsidRDefault="00A3653F" w:rsidP="00712D61">
      <w:pPr>
        <w:jc w:val="both"/>
        <w:rPr>
          <w:rFonts w:ascii="Verdana" w:hAnsi="Verdana"/>
          <w:sz w:val="22"/>
          <w:szCs w:val="22"/>
        </w:rPr>
      </w:pPr>
      <w:r w:rsidRPr="00A3653F">
        <w:rPr>
          <w:rFonts w:ascii="Verdana" w:hAnsi="Verdana"/>
          <w:sz w:val="22"/>
          <w:szCs w:val="22"/>
          <w:u w:val="single"/>
        </w:rPr>
        <w:t>L</w:t>
      </w:r>
      <w:r w:rsidR="00712D61" w:rsidRPr="00A3653F">
        <w:rPr>
          <w:rFonts w:ascii="Verdana" w:hAnsi="Verdana"/>
          <w:sz w:val="22"/>
          <w:szCs w:val="22"/>
          <w:u w:val="single"/>
        </w:rPr>
        <w:t>’espressione “altra forma” è estremamente vaga.</w:t>
      </w:r>
      <w:r w:rsidR="00712D61" w:rsidRPr="00D73819">
        <w:rPr>
          <w:rFonts w:ascii="Verdana" w:hAnsi="Verdana"/>
          <w:sz w:val="22"/>
          <w:szCs w:val="22"/>
        </w:rPr>
        <w:t xml:space="preserve"> Potrebbero rientrarvi apporti non finanziari, utilità organizzative, beni immateriali, know-how, garanzie, rinunce o altre forme di supporto alla continuità aziendale. Ma per applicare la norma occorre monetizzare tali apporti, cioè trasformarli in un valore comparabile con quello delle partecipazioni sociali.</w:t>
      </w:r>
    </w:p>
    <w:p w14:paraId="3B1302A7" w14:textId="0104680B" w:rsidR="00712D61" w:rsidRPr="00D73819" w:rsidRDefault="00712D61" w:rsidP="00712D61">
      <w:pPr>
        <w:jc w:val="both"/>
        <w:rPr>
          <w:rFonts w:ascii="Verdana" w:hAnsi="Verdana"/>
          <w:sz w:val="22"/>
          <w:szCs w:val="22"/>
        </w:rPr>
      </w:pPr>
      <w:r w:rsidRPr="00D73819">
        <w:rPr>
          <w:rFonts w:ascii="Verdana" w:hAnsi="Verdana"/>
          <w:sz w:val="22"/>
          <w:szCs w:val="22"/>
        </w:rPr>
        <w:t>Anche sotto questo profilo, dunque, la disciplina accresce l’imprevedibilità dell’omologazione.</w:t>
      </w:r>
    </w:p>
    <w:p w14:paraId="7E12738B" w14:textId="77777777" w:rsidR="0043530A" w:rsidRPr="00D73819" w:rsidRDefault="0043530A" w:rsidP="00712D61">
      <w:pPr>
        <w:jc w:val="both"/>
        <w:rPr>
          <w:rFonts w:ascii="Verdana" w:hAnsi="Verdana"/>
          <w:sz w:val="22"/>
          <w:szCs w:val="22"/>
        </w:rPr>
      </w:pPr>
    </w:p>
    <w:p w14:paraId="7D951566" w14:textId="77777777" w:rsidR="00712D61" w:rsidRPr="00D73819" w:rsidRDefault="00712D61" w:rsidP="00712D61">
      <w:pPr>
        <w:jc w:val="both"/>
        <w:rPr>
          <w:rFonts w:ascii="Verdana" w:hAnsi="Verdana"/>
          <w:b/>
          <w:bCs/>
          <w:sz w:val="22"/>
          <w:szCs w:val="22"/>
        </w:rPr>
      </w:pPr>
      <w:r w:rsidRPr="00D73819">
        <w:rPr>
          <w:rFonts w:ascii="Verdana" w:hAnsi="Verdana"/>
          <w:b/>
          <w:bCs/>
          <w:sz w:val="22"/>
          <w:szCs w:val="22"/>
        </w:rPr>
        <w:t>6. Il confronto tra valore riservato ai soci e dissenso dei creditori</w:t>
      </w:r>
    </w:p>
    <w:p w14:paraId="26E51748" w14:textId="77777777" w:rsidR="00321CCD" w:rsidRDefault="00321CCD" w:rsidP="00712D61">
      <w:pPr>
        <w:jc w:val="both"/>
        <w:rPr>
          <w:rFonts w:ascii="Verdana" w:hAnsi="Verdana"/>
          <w:sz w:val="22"/>
          <w:szCs w:val="22"/>
        </w:rPr>
      </w:pPr>
    </w:p>
    <w:p w14:paraId="5B62DDF8" w14:textId="2BD1B3A2" w:rsidR="00712D61" w:rsidRPr="00D73819" w:rsidRDefault="00712D61" w:rsidP="00712D61">
      <w:pPr>
        <w:jc w:val="both"/>
        <w:rPr>
          <w:rFonts w:ascii="Verdana" w:hAnsi="Verdana"/>
          <w:sz w:val="22"/>
          <w:szCs w:val="22"/>
        </w:rPr>
      </w:pPr>
      <w:r w:rsidRPr="00D73819">
        <w:rPr>
          <w:rFonts w:ascii="Verdana" w:hAnsi="Verdana"/>
          <w:sz w:val="22"/>
          <w:szCs w:val="22"/>
        </w:rPr>
        <w:t xml:space="preserve">Una volta individuato il valore riservato ai soci, </w:t>
      </w:r>
      <w:r w:rsidRPr="002D307D">
        <w:rPr>
          <w:rFonts w:ascii="Verdana" w:hAnsi="Verdana"/>
          <w:sz w:val="22"/>
          <w:szCs w:val="22"/>
          <w:u w:val="single"/>
        </w:rPr>
        <w:t>la norma impone una prova di resistenza, diversa a seconda della collocazione della classe dissenziente</w:t>
      </w:r>
      <w:r w:rsidRPr="00D73819">
        <w:rPr>
          <w:rFonts w:ascii="Verdana" w:hAnsi="Verdana"/>
          <w:sz w:val="22"/>
          <w:szCs w:val="22"/>
        </w:rPr>
        <w:t>.</w:t>
      </w:r>
    </w:p>
    <w:p w14:paraId="60D006D6" w14:textId="3DBAFF4C" w:rsidR="00900D11" w:rsidRPr="00D73819" w:rsidRDefault="00900D11" w:rsidP="00900D11">
      <w:pPr>
        <w:jc w:val="both"/>
        <w:rPr>
          <w:rFonts w:ascii="Verdana" w:hAnsi="Verdana"/>
          <w:sz w:val="22"/>
          <w:szCs w:val="22"/>
        </w:rPr>
      </w:pPr>
      <w:r w:rsidRPr="00D73819">
        <w:rPr>
          <w:rFonts w:ascii="Verdana" w:hAnsi="Verdana"/>
          <w:sz w:val="22"/>
          <w:szCs w:val="22"/>
        </w:rPr>
        <w:t xml:space="preserve">Occorre verificare </w:t>
      </w:r>
      <w:r w:rsidRPr="00321CCD">
        <w:rPr>
          <w:rFonts w:ascii="Verdana" w:hAnsi="Verdana"/>
          <w:sz w:val="22"/>
          <w:szCs w:val="22"/>
          <w:u w:val="single"/>
        </w:rPr>
        <w:t>se il concordato possa essere omologato nonostante il dissenso di una o più classi di creditori.</w:t>
      </w:r>
    </w:p>
    <w:p w14:paraId="08A856B5" w14:textId="77777777" w:rsidR="00321CCD" w:rsidRDefault="00321CCD" w:rsidP="00900D11">
      <w:pPr>
        <w:jc w:val="both"/>
        <w:rPr>
          <w:rFonts w:ascii="Verdana" w:hAnsi="Verdana"/>
          <w:sz w:val="22"/>
          <w:szCs w:val="22"/>
          <w:u w:val="single"/>
        </w:rPr>
      </w:pPr>
    </w:p>
    <w:p w14:paraId="27A33A67" w14:textId="247A735C" w:rsidR="00900D11" w:rsidRPr="002D307D" w:rsidRDefault="00900D11" w:rsidP="00900D11">
      <w:pPr>
        <w:jc w:val="both"/>
        <w:rPr>
          <w:rFonts w:ascii="Verdana" w:hAnsi="Verdana"/>
          <w:sz w:val="22"/>
          <w:szCs w:val="22"/>
          <w:u w:val="single"/>
        </w:rPr>
      </w:pPr>
      <w:r w:rsidRPr="002D307D">
        <w:rPr>
          <w:rFonts w:ascii="Verdana" w:hAnsi="Verdana"/>
          <w:sz w:val="22"/>
          <w:szCs w:val="22"/>
          <w:u w:val="single"/>
        </w:rPr>
        <w:t>La disciplina distingue due ipotesi.</w:t>
      </w:r>
    </w:p>
    <w:p w14:paraId="21B67D05" w14:textId="77777777" w:rsidR="00321CCD" w:rsidRDefault="00321CCD" w:rsidP="00712D61">
      <w:pPr>
        <w:jc w:val="both"/>
        <w:rPr>
          <w:rFonts w:ascii="Verdana" w:hAnsi="Verdana"/>
          <w:sz w:val="22"/>
          <w:szCs w:val="22"/>
          <w:u w:val="single"/>
        </w:rPr>
      </w:pPr>
    </w:p>
    <w:p w14:paraId="09963E80" w14:textId="3D131FC4" w:rsidR="00712D61" w:rsidRPr="00D73819" w:rsidRDefault="00712D61" w:rsidP="00712D61">
      <w:pPr>
        <w:jc w:val="both"/>
        <w:rPr>
          <w:rFonts w:ascii="Verdana" w:hAnsi="Verdana"/>
          <w:sz w:val="22"/>
          <w:szCs w:val="22"/>
          <w:u w:val="single"/>
        </w:rPr>
      </w:pPr>
      <w:r w:rsidRPr="00D73819">
        <w:rPr>
          <w:rFonts w:ascii="Verdana" w:hAnsi="Verdana"/>
          <w:sz w:val="22"/>
          <w:szCs w:val="22"/>
          <w:u w:val="single"/>
        </w:rPr>
        <w:t>a) Dissenso di classi non infime o di pari grado</w:t>
      </w:r>
    </w:p>
    <w:p w14:paraId="63E86786" w14:textId="77777777" w:rsidR="00712D61" w:rsidRPr="00D73819" w:rsidRDefault="00712D61" w:rsidP="00712D61">
      <w:pPr>
        <w:jc w:val="both"/>
        <w:rPr>
          <w:rFonts w:ascii="Verdana" w:hAnsi="Verdana"/>
          <w:sz w:val="22"/>
          <w:szCs w:val="22"/>
        </w:rPr>
      </w:pPr>
      <w:r w:rsidRPr="00D73819">
        <w:rPr>
          <w:rFonts w:ascii="Verdana" w:hAnsi="Verdana"/>
          <w:sz w:val="22"/>
          <w:szCs w:val="22"/>
        </w:rPr>
        <w:t xml:space="preserve">La prima ipotesi riguarda </w:t>
      </w:r>
      <w:r w:rsidRPr="00D73819">
        <w:rPr>
          <w:rFonts w:ascii="Verdana" w:hAnsi="Verdana"/>
          <w:sz w:val="22"/>
          <w:szCs w:val="22"/>
          <w:u w:val="single"/>
        </w:rPr>
        <w:t>il dissenso di una classe che non sia l’unica classe di ultimo grado, oppure il dissenso di una classe di pari grado rispetto ad altre classi assenzienti.</w:t>
      </w:r>
    </w:p>
    <w:p w14:paraId="65D87444" w14:textId="77777777" w:rsidR="00712D61" w:rsidRPr="0059035A" w:rsidRDefault="00712D61" w:rsidP="00712D61">
      <w:pPr>
        <w:jc w:val="both"/>
        <w:rPr>
          <w:rFonts w:ascii="Verdana" w:hAnsi="Verdana"/>
          <w:sz w:val="22"/>
          <w:szCs w:val="22"/>
          <w:u w:val="single"/>
        </w:rPr>
      </w:pPr>
      <w:r w:rsidRPr="00D73819">
        <w:rPr>
          <w:rFonts w:ascii="Verdana" w:hAnsi="Verdana"/>
          <w:sz w:val="22"/>
          <w:szCs w:val="22"/>
        </w:rPr>
        <w:t xml:space="preserve">In questo caso, l’art. 120-quater richiede di verificare se il trattamento della classe dissenziente resterebbe altrettanto favorevole rispetto a quello delle classi di pari grado e più favorevole rispetto a quello delle classi di grado inferiore, </w:t>
      </w:r>
      <w:r w:rsidRPr="0059035A">
        <w:rPr>
          <w:rFonts w:ascii="Verdana" w:hAnsi="Verdana"/>
          <w:sz w:val="22"/>
          <w:szCs w:val="22"/>
          <w:u w:val="single"/>
        </w:rPr>
        <w:t>anche se il valore riservato ai soci fosse destinato a tali classi.</w:t>
      </w:r>
    </w:p>
    <w:p w14:paraId="3BF146D2" w14:textId="77777777" w:rsidR="00712D61" w:rsidRPr="00D73819" w:rsidRDefault="00712D61" w:rsidP="00712D61">
      <w:pPr>
        <w:jc w:val="both"/>
        <w:rPr>
          <w:rFonts w:ascii="Verdana" w:hAnsi="Verdana"/>
          <w:sz w:val="22"/>
          <w:szCs w:val="22"/>
        </w:rPr>
      </w:pPr>
      <w:r w:rsidRPr="002D307D">
        <w:rPr>
          <w:rFonts w:ascii="Verdana" w:hAnsi="Verdana"/>
          <w:sz w:val="22"/>
          <w:szCs w:val="22"/>
          <w:u w:val="single"/>
        </w:rPr>
        <w:t>Si tratta di una simulazione controfattuale</w:t>
      </w:r>
      <w:r w:rsidRPr="00D73819">
        <w:rPr>
          <w:rFonts w:ascii="Verdana" w:hAnsi="Verdana"/>
          <w:sz w:val="22"/>
          <w:szCs w:val="22"/>
        </w:rPr>
        <w:t>. Il tribunale deve immaginare che il valore attribuito ai soci non vada ai soci, ma venga riallocato alle classi assenzienti di pari o inferiore grado rispetto alla classe dissenziente. Occorre poi verificare se, anche in questo scenario alternativo, la classe dissenziente non risulti pregiudicata.</w:t>
      </w:r>
    </w:p>
    <w:p w14:paraId="3236B244" w14:textId="77777777" w:rsidR="00712D61" w:rsidRPr="00D73819" w:rsidRDefault="00712D61" w:rsidP="00712D61">
      <w:pPr>
        <w:jc w:val="both"/>
        <w:rPr>
          <w:rFonts w:ascii="Verdana" w:hAnsi="Verdana"/>
          <w:sz w:val="22"/>
          <w:szCs w:val="22"/>
        </w:rPr>
      </w:pPr>
      <w:r w:rsidRPr="00D73819">
        <w:rPr>
          <w:rFonts w:ascii="Verdana" w:hAnsi="Verdana"/>
          <w:sz w:val="22"/>
          <w:szCs w:val="22"/>
        </w:rPr>
        <w:t>La ratio della regola è che la classe dissenziente non dovrebbe potersi lamentare di un valore lasciato ai soci se, anche destinando quel valore ad altre classi assenzienti, il suo trattamento resterebbe conforme alla regola di priorità relativa.</w:t>
      </w:r>
    </w:p>
    <w:p w14:paraId="7761BB95" w14:textId="7C23C464" w:rsidR="00712D61" w:rsidRPr="00D73819" w:rsidRDefault="00552850" w:rsidP="00712D61">
      <w:pPr>
        <w:jc w:val="both"/>
        <w:rPr>
          <w:rFonts w:ascii="Verdana" w:hAnsi="Verdana"/>
          <w:sz w:val="22"/>
          <w:szCs w:val="22"/>
        </w:rPr>
      </w:pPr>
      <w:r w:rsidRPr="00D73819">
        <w:rPr>
          <w:rFonts w:ascii="Verdana" w:hAnsi="Verdana"/>
          <w:sz w:val="22"/>
          <w:szCs w:val="22"/>
          <w:u w:val="single"/>
        </w:rPr>
        <w:t>Ora, l</w:t>
      </w:r>
      <w:r w:rsidR="00402964" w:rsidRPr="00D73819">
        <w:rPr>
          <w:rFonts w:ascii="Verdana" w:hAnsi="Verdana"/>
          <w:sz w:val="22"/>
          <w:szCs w:val="22"/>
          <w:u w:val="single"/>
        </w:rPr>
        <w:t>a</w:t>
      </w:r>
      <w:r w:rsidR="00712D61" w:rsidRPr="00D73819">
        <w:rPr>
          <w:rFonts w:ascii="Verdana" w:hAnsi="Verdana"/>
          <w:sz w:val="22"/>
          <w:szCs w:val="22"/>
          <w:u w:val="single"/>
        </w:rPr>
        <w:t xml:space="preserve"> norma non precisa secondo quale criterio debba essere distribuito, nello scenario controfattuale, il valore riservato ai soci</w:t>
      </w:r>
      <w:r w:rsidRPr="00D73819">
        <w:rPr>
          <w:rFonts w:ascii="Verdana" w:hAnsi="Verdana"/>
          <w:sz w:val="22"/>
          <w:szCs w:val="22"/>
          <w:u w:val="single"/>
        </w:rPr>
        <w:t>,</w:t>
      </w:r>
      <w:r w:rsidRPr="00D73819">
        <w:rPr>
          <w:rFonts w:ascii="Verdana" w:hAnsi="Verdana"/>
          <w:sz w:val="22"/>
          <w:szCs w:val="22"/>
        </w:rPr>
        <w:t xml:space="preserve"> sollevando così un dilemma di notevole interesse, se s</w:t>
      </w:r>
      <w:r w:rsidR="00712D61" w:rsidRPr="00D73819">
        <w:rPr>
          <w:rFonts w:ascii="Verdana" w:hAnsi="Verdana"/>
          <w:sz w:val="22"/>
          <w:szCs w:val="22"/>
        </w:rPr>
        <w:t>i deve applicare l’Absolute Priority Rule</w:t>
      </w:r>
      <w:r w:rsidRPr="00D73819">
        <w:rPr>
          <w:rFonts w:ascii="Verdana" w:hAnsi="Verdana"/>
          <w:sz w:val="22"/>
          <w:szCs w:val="22"/>
        </w:rPr>
        <w:t>, o</w:t>
      </w:r>
      <w:r w:rsidR="00712D61" w:rsidRPr="00D73819">
        <w:rPr>
          <w:rFonts w:ascii="Verdana" w:hAnsi="Verdana"/>
          <w:sz w:val="22"/>
          <w:szCs w:val="22"/>
        </w:rPr>
        <w:t>ppure una regola più flessibile</w:t>
      </w:r>
      <w:r w:rsidRPr="00D73819">
        <w:rPr>
          <w:rFonts w:ascii="Verdana" w:hAnsi="Verdana"/>
          <w:sz w:val="22"/>
          <w:szCs w:val="22"/>
        </w:rPr>
        <w:t>.</w:t>
      </w:r>
    </w:p>
    <w:p w14:paraId="7B663E02" w14:textId="20240422" w:rsidR="00712D61" w:rsidRPr="00D73819" w:rsidRDefault="00402964" w:rsidP="00712D61">
      <w:pPr>
        <w:jc w:val="both"/>
        <w:rPr>
          <w:rFonts w:ascii="Verdana" w:hAnsi="Verdana"/>
          <w:sz w:val="22"/>
          <w:szCs w:val="22"/>
        </w:rPr>
      </w:pPr>
      <w:r w:rsidRPr="00D73819">
        <w:rPr>
          <w:rFonts w:ascii="Verdana" w:hAnsi="Verdana"/>
          <w:sz w:val="22"/>
          <w:szCs w:val="22"/>
        </w:rPr>
        <w:t>L</w:t>
      </w:r>
      <w:r w:rsidR="00712D61" w:rsidRPr="00D73819">
        <w:rPr>
          <w:rFonts w:ascii="Verdana" w:hAnsi="Verdana"/>
          <w:sz w:val="22"/>
          <w:szCs w:val="22"/>
        </w:rPr>
        <w:t>’applicazione rigida dell’APR genererebbe difficoltà quasi insormontabili. Anche un piccolo valore redistribuito potrebbe alterare i rapporti tra classi, soprattutto se vi sono classi di pari grado o classi con crediti di importo ridotto. Il rischio sarebbe quello di rendere l’omologazione praticamente impossibile per ragioni meramente matematiche o casuali.</w:t>
      </w:r>
    </w:p>
    <w:p w14:paraId="1C65CEBC" w14:textId="270A04A2" w:rsidR="00712D61" w:rsidRPr="00D73819" w:rsidRDefault="00DA2E83" w:rsidP="00712D61">
      <w:pPr>
        <w:jc w:val="both"/>
        <w:rPr>
          <w:rFonts w:ascii="Verdana" w:hAnsi="Verdana"/>
          <w:sz w:val="22"/>
          <w:szCs w:val="22"/>
        </w:rPr>
      </w:pPr>
      <w:r w:rsidRPr="00D73819">
        <w:rPr>
          <w:rFonts w:ascii="Verdana" w:hAnsi="Verdana"/>
          <w:sz w:val="22"/>
          <w:szCs w:val="22"/>
        </w:rPr>
        <w:t>È stata in dottrina</w:t>
      </w:r>
      <w:r w:rsidR="00712D61" w:rsidRPr="00D73819">
        <w:rPr>
          <w:rFonts w:ascii="Verdana" w:hAnsi="Verdana"/>
          <w:sz w:val="22"/>
          <w:szCs w:val="22"/>
        </w:rPr>
        <w:t xml:space="preserve"> propo</w:t>
      </w:r>
      <w:r w:rsidRPr="00D73819">
        <w:rPr>
          <w:rFonts w:ascii="Verdana" w:hAnsi="Verdana"/>
          <w:sz w:val="22"/>
          <w:szCs w:val="22"/>
        </w:rPr>
        <w:t>sta</w:t>
      </w:r>
      <w:r w:rsidR="00712D61" w:rsidRPr="00D73819">
        <w:rPr>
          <w:rFonts w:ascii="Verdana" w:hAnsi="Verdana"/>
          <w:sz w:val="22"/>
          <w:szCs w:val="22"/>
        </w:rPr>
        <w:t xml:space="preserve"> una lettura più flessibile: il tribunale dovrebbe verificare se esista una qualunque riallocazione del valore riservato ai soci tra le classi assenzienti di pari o inferiore grado che consenta di rispettare la priorità relativa nei confronti delle classi dissenzienti. </w:t>
      </w:r>
      <w:r w:rsidR="00712D61" w:rsidRPr="002D307D">
        <w:rPr>
          <w:rFonts w:ascii="Verdana" w:hAnsi="Verdana"/>
          <w:sz w:val="22"/>
          <w:szCs w:val="22"/>
          <w:u w:val="single"/>
        </w:rPr>
        <w:t>In altre parole, non occorrerebbe applicare rigidamente l’APR, ma solo accertare che il dissenso non sia effettivamente penalizzato dall’attribuzione ai soci.</w:t>
      </w:r>
    </w:p>
    <w:p w14:paraId="12E76B5B" w14:textId="77777777" w:rsidR="00602B57" w:rsidRPr="00D73819" w:rsidRDefault="00602B57">
      <w:pPr>
        <w:jc w:val="both"/>
        <w:rPr>
          <w:rFonts w:ascii="Verdana" w:hAnsi="Verdana"/>
          <w:sz w:val="22"/>
          <w:szCs w:val="22"/>
        </w:rPr>
      </w:pPr>
      <w:r w:rsidRPr="00D73819">
        <w:rPr>
          <w:rFonts w:ascii="Verdana" w:hAnsi="Verdana"/>
          <w:sz w:val="22"/>
          <w:szCs w:val="22"/>
        </w:rPr>
        <w:t xml:space="preserve">Questa lettura, nell’apparente silenzio del legislatore, renderebbe l’art. 120-quater meno paralizzante; la soluzione parrebbe in linea con le indicazioni comunitarie e con </w:t>
      </w:r>
      <w:r w:rsidRPr="00D73819">
        <w:rPr>
          <w:rFonts w:ascii="Verdana" w:hAnsi="Verdana"/>
          <w:sz w:val="22"/>
          <w:szCs w:val="22"/>
        </w:rPr>
        <w:lastRenderedPageBreak/>
        <w:t>la possibilità di evitare vincoli eccessivi e, in fondo, ingiustificati, all’omologazione del piano.</w:t>
      </w:r>
    </w:p>
    <w:p w14:paraId="6DC7907D" w14:textId="77777777" w:rsidR="0059035A" w:rsidRDefault="0059035A" w:rsidP="00712D61">
      <w:pPr>
        <w:jc w:val="both"/>
        <w:rPr>
          <w:rFonts w:ascii="Verdana" w:hAnsi="Verdana"/>
          <w:sz w:val="22"/>
          <w:szCs w:val="22"/>
          <w:u w:val="single"/>
        </w:rPr>
      </w:pPr>
    </w:p>
    <w:p w14:paraId="34AE95BC" w14:textId="4ADF2627" w:rsidR="00712D61" w:rsidRPr="00D73819" w:rsidRDefault="00712D61" w:rsidP="00712D61">
      <w:pPr>
        <w:jc w:val="both"/>
        <w:rPr>
          <w:rFonts w:ascii="Verdana" w:hAnsi="Verdana"/>
          <w:sz w:val="22"/>
          <w:szCs w:val="22"/>
          <w:u w:val="single"/>
        </w:rPr>
      </w:pPr>
      <w:r w:rsidRPr="00D73819">
        <w:rPr>
          <w:rFonts w:ascii="Verdana" w:hAnsi="Verdana"/>
          <w:sz w:val="22"/>
          <w:szCs w:val="22"/>
          <w:u w:val="single"/>
        </w:rPr>
        <w:t>b) Dissenso dell’unica classe infima</w:t>
      </w:r>
    </w:p>
    <w:p w14:paraId="4938639C" w14:textId="77777777" w:rsidR="00DA2E83" w:rsidRPr="00D73819" w:rsidRDefault="00712D61" w:rsidP="00712D61">
      <w:pPr>
        <w:jc w:val="both"/>
        <w:rPr>
          <w:rFonts w:ascii="Verdana" w:hAnsi="Verdana"/>
          <w:sz w:val="22"/>
          <w:szCs w:val="22"/>
        </w:rPr>
      </w:pPr>
      <w:r w:rsidRPr="00D73819">
        <w:rPr>
          <w:rFonts w:ascii="Verdana" w:hAnsi="Verdana"/>
          <w:sz w:val="22"/>
          <w:szCs w:val="22"/>
        </w:rPr>
        <w:t xml:space="preserve">La seconda ipotesi riguarda il caso in cui </w:t>
      </w:r>
      <w:r w:rsidRPr="00D73819">
        <w:rPr>
          <w:rFonts w:ascii="Verdana" w:hAnsi="Verdana"/>
          <w:sz w:val="22"/>
          <w:szCs w:val="22"/>
          <w:u w:val="single"/>
        </w:rPr>
        <w:t>il dissenso provenga dall’unica classe di ultimo grado.</w:t>
      </w:r>
      <w:r w:rsidRPr="00D73819">
        <w:rPr>
          <w:rFonts w:ascii="Verdana" w:hAnsi="Verdana"/>
          <w:sz w:val="22"/>
          <w:szCs w:val="22"/>
        </w:rPr>
        <w:t xml:space="preserve"> </w:t>
      </w:r>
    </w:p>
    <w:p w14:paraId="28B328C9" w14:textId="2F5ACB5C" w:rsidR="00712D61" w:rsidRPr="00D73819" w:rsidRDefault="00712D61" w:rsidP="00712D61">
      <w:pPr>
        <w:jc w:val="both"/>
        <w:rPr>
          <w:rFonts w:ascii="Verdana" w:hAnsi="Verdana"/>
          <w:sz w:val="22"/>
          <w:szCs w:val="22"/>
        </w:rPr>
      </w:pPr>
      <w:r w:rsidRPr="00D73819">
        <w:rPr>
          <w:rFonts w:ascii="Verdana" w:hAnsi="Verdana"/>
          <w:sz w:val="22"/>
          <w:szCs w:val="22"/>
        </w:rPr>
        <w:t>Qui la norma adotta un criterio completamente diverso: il concordato può essere omologato solo se il valore destinato al soddisfacimento dei creditori appartenenti alla classe dissenziente è superiore al valore complessivamente riservato ai soci.</w:t>
      </w:r>
    </w:p>
    <w:p w14:paraId="7C30788A" w14:textId="77777777" w:rsidR="00712D61" w:rsidRPr="00D73819" w:rsidRDefault="00712D61" w:rsidP="00712D61">
      <w:pPr>
        <w:jc w:val="both"/>
        <w:rPr>
          <w:rFonts w:ascii="Verdana" w:hAnsi="Verdana"/>
          <w:sz w:val="22"/>
          <w:szCs w:val="22"/>
        </w:rPr>
      </w:pPr>
      <w:r w:rsidRPr="002D307D">
        <w:rPr>
          <w:rFonts w:ascii="Verdana" w:hAnsi="Verdana"/>
          <w:sz w:val="22"/>
          <w:szCs w:val="22"/>
          <w:u w:val="single"/>
        </w:rPr>
        <w:t>Non vi è quindi una simulazione di distribuzione alternativa. Si confrontano semplicemente due valori assoluti</w:t>
      </w:r>
      <w:r w:rsidRPr="00D73819">
        <w:rPr>
          <w:rFonts w:ascii="Verdana" w:hAnsi="Verdana"/>
          <w:sz w:val="22"/>
          <w:szCs w:val="22"/>
        </w:rPr>
        <w:t>: da un lato, quanto viene attribuito alla classe dissenziente; dall’altro, quanto viene riservato ai soci.</w:t>
      </w:r>
    </w:p>
    <w:p w14:paraId="2B0B9628" w14:textId="77777777" w:rsidR="002D307D" w:rsidRDefault="007A10BC" w:rsidP="00712D61">
      <w:pPr>
        <w:jc w:val="both"/>
        <w:rPr>
          <w:rFonts w:ascii="Verdana" w:hAnsi="Verdana"/>
          <w:sz w:val="22"/>
          <w:szCs w:val="22"/>
        </w:rPr>
      </w:pPr>
      <w:r w:rsidRPr="00D73819">
        <w:rPr>
          <w:rFonts w:ascii="Verdana" w:hAnsi="Verdana"/>
          <w:sz w:val="22"/>
          <w:szCs w:val="22"/>
        </w:rPr>
        <w:t>La</w:t>
      </w:r>
      <w:r w:rsidR="00712D61" w:rsidRPr="00D73819">
        <w:rPr>
          <w:rFonts w:ascii="Verdana" w:hAnsi="Verdana"/>
          <w:sz w:val="22"/>
          <w:szCs w:val="22"/>
        </w:rPr>
        <w:t xml:space="preserve"> regola</w:t>
      </w:r>
      <w:r w:rsidRPr="00D73819">
        <w:rPr>
          <w:rFonts w:ascii="Verdana" w:hAnsi="Verdana"/>
          <w:sz w:val="22"/>
          <w:szCs w:val="22"/>
        </w:rPr>
        <w:t xml:space="preserve"> </w:t>
      </w:r>
      <w:r w:rsidR="00F93B4B" w:rsidRPr="00D73819">
        <w:rPr>
          <w:rFonts w:ascii="Verdana" w:hAnsi="Verdana"/>
          <w:sz w:val="22"/>
          <w:szCs w:val="22"/>
        </w:rPr>
        <w:t xml:space="preserve">può sortire effetti distorsivi. </w:t>
      </w:r>
    </w:p>
    <w:p w14:paraId="6A8D37F2" w14:textId="6CA5ADDB" w:rsidR="00712D61" w:rsidRPr="00D73819" w:rsidRDefault="00F93B4B" w:rsidP="00712D61">
      <w:pPr>
        <w:jc w:val="both"/>
        <w:rPr>
          <w:rFonts w:ascii="Verdana" w:hAnsi="Verdana"/>
          <w:sz w:val="22"/>
          <w:szCs w:val="22"/>
        </w:rPr>
      </w:pPr>
      <w:r w:rsidRPr="00D73819">
        <w:rPr>
          <w:rFonts w:ascii="Verdana" w:hAnsi="Verdana"/>
          <w:sz w:val="22"/>
          <w:szCs w:val="22"/>
        </w:rPr>
        <w:t xml:space="preserve">In primo luogo, </w:t>
      </w:r>
      <w:r w:rsidR="00712D61" w:rsidRPr="00D73819">
        <w:rPr>
          <w:rFonts w:ascii="Verdana" w:hAnsi="Verdana"/>
          <w:sz w:val="22"/>
          <w:szCs w:val="22"/>
        </w:rPr>
        <w:t>consente che i soci ricevano un valore quasi pari a quello attribuito alla classe infima dissenziente. Inoltre, produce un effetto paradossale: più elevato è l’ammontare dei crediti inseriti nella classe infima dissenziente, maggiore può essere il valore lasciato ai soci.</w:t>
      </w:r>
    </w:p>
    <w:p w14:paraId="7FE8D70B" w14:textId="77777777" w:rsidR="002D307D" w:rsidRDefault="002D307D">
      <w:pPr>
        <w:jc w:val="both"/>
        <w:rPr>
          <w:rFonts w:ascii="Verdana" w:hAnsi="Verdana"/>
          <w:sz w:val="22"/>
          <w:szCs w:val="22"/>
        </w:rPr>
      </w:pPr>
    </w:p>
    <w:p w14:paraId="20FA8864" w14:textId="77777777" w:rsidR="0059035A" w:rsidRDefault="00602B57">
      <w:pPr>
        <w:jc w:val="both"/>
        <w:rPr>
          <w:rFonts w:ascii="Verdana" w:hAnsi="Verdana"/>
          <w:sz w:val="22"/>
          <w:szCs w:val="22"/>
        </w:rPr>
      </w:pPr>
      <w:r w:rsidRPr="002D307D">
        <w:rPr>
          <w:rFonts w:ascii="Verdana" w:hAnsi="Verdana"/>
          <w:sz w:val="22"/>
          <w:szCs w:val="22"/>
          <w:u w:val="single"/>
        </w:rPr>
        <w:t>In ogni caso, l’interpretazione dell’art. 120-quater CCII presenta ampi margini di incertezza operativa,</w:t>
      </w:r>
      <w:r w:rsidRPr="00D73819">
        <w:rPr>
          <w:rFonts w:ascii="Verdana" w:hAnsi="Verdana"/>
          <w:sz w:val="22"/>
          <w:szCs w:val="22"/>
        </w:rPr>
        <w:t xml:space="preserve"> che si acuiscono laddove il piano non preveda apporti patrimoniali da parte dei soci o formule di riequilibrio strutturale della compagine sociale, quali aumenti di capitale riservati a terzi, conversioni di crediti in strumenti partecipativi ovvero clausole di earn-out funzionali alla sterilizzazione e/o alla modulazione del valore “effettivo” da attribuire agli stessi. </w:t>
      </w:r>
    </w:p>
    <w:p w14:paraId="4E411E96" w14:textId="1BFF01F3" w:rsidR="00602B57" w:rsidRPr="00D73819" w:rsidRDefault="00602B57">
      <w:pPr>
        <w:jc w:val="both"/>
        <w:rPr>
          <w:rFonts w:ascii="Verdana" w:hAnsi="Verdana"/>
          <w:sz w:val="22"/>
          <w:szCs w:val="22"/>
        </w:rPr>
      </w:pPr>
      <w:r w:rsidRPr="00D73819">
        <w:rPr>
          <w:rFonts w:ascii="Verdana" w:hAnsi="Verdana"/>
          <w:sz w:val="22"/>
          <w:szCs w:val="22"/>
        </w:rPr>
        <w:t>In assenza di tali meccanismi, il rischio è che l’attribuzione residuale di valore agli azionisti anteriori alla procedura di concordato risulti condizionata da variabili difficilmente gestibili, con conseguente inapplicabilità della “prova di resistenza” di cui all’art. 120-quater CCII e potenziale preclusione dell’omologazione.</w:t>
      </w:r>
    </w:p>
    <w:p w14:paraId="6468F35E" w14:textId="77777777" w:rsidR="00895ACC" w:rsidRPr="00D73819" w:rsidRDefault="00895ACC" w:rsidP="00712D61">
      <w:pPr>
        <w:jc w:val="both"/>
        <w:rPr>
          <w:rFonts w:ascii="Verdana" w:hAnsi="Verdana"/>
          <w:sz w:val="22"/>
          <w:szCs w:val="22"/>
        </w:rPr>
      </w:pPr>
    </w:p>
    <w:p w14:paraId="3F0BB943" w14:textId="772DA38F" w:rsidR="00712D61" w:rsidRPr="00D73819" w:rsidRDefault="00712D61" w:rsidP="00712D61">
      <w:pPr>
        <w:jc w:val="both"/>
        <w:rPr>
          <w:rFonts w:ascii="Verdana" w:hAnsi="Verdana"/>
          <w:sz w:val="22"/>
          <w:szCs w:val="22"/>
        </w:rPr>
      </w:pPr>
    </w:p>
    <w:p w14:paraId="2068D8EA" w14:textId="379064B5" w:rsidR="003E247C" w:rsidRPr="00D73819" w:rsidRDefault="003E247C" w:rsidP="00712D61">
      <w:pPr>
        <w:jc w:val="both"/>
        <w:rPr>
          <w:rFonts w:ascii="Verdana" w:hAnsi="Verdana"/>
          <w:b/>
          <w:bCs/>
          <w:sz w:val="22"/>
          <w:szCs w:val="22"/>
        </w:rPr>
      </w:pPr>
      <w:r w:rsidRPr="00D73819">
        <w:rPr>
          <w:rFonts w:ascii="Verdana" w:hAnsi="Verdana"/>
          <w:b/>
          <w:bCs/>
          <w:sz w:val="22"/>
          <w:szCs w:val="22"/>
        </w:rPr>
        <w:t>Alcune considerazioni finali.</w:t>
      </w:r>
    </w:p>
    <w:p w14:paraId="22265CEE" w14:textId="77777777" w:rsidR="00E80CFC" w:rsidRPr="00D73819" w:rsidRDefault="00E80CFC" w:rsidP="00712D61">
      <w:pPr>
        <w:jc w:val="both"/>
        <w:rPr>
          <w:rFonts w:ascii="Verdana" w:hAnsi="Verdana"/>
          <w:sz w:val="22"/>
          <w:szCs w:val="22"/>
        </w:rPr>
      </w:pPr>
    </w:p>
    <w:p w14:paraId="590F20CD" w14:textId="77777777" w:rsidR="001B3852" w:rsidRPr="00D73819" w:rsidRDefault="001B3852" w:rsidP="00712D61">
      <w:pPr>
        <w:jc w:val="both"/>
        <w:rPr>
          <w:rFonts w:ascii="Verdana" w:hAnsi="Verdana"/>
          <w:sz w:val="22"/>
          <w:szCs w:val="22"/>
          <w:u w:val="single"/>
        </w:rPr>
      </w:pPr>
      <w:r w:rsidRPr="00D73819">
        <w:rPr>
          <w:rFonts w:ascii="Verdana" w:hAnsi="Verdana"/>
          <w:sz w:val="22"/>
          <w:szCs w:val="22"/>
          <w:u w:val="single"/>
        </w:rPr>
        <w:t>Il valore di ristrutturazione.</w:t>
      </w:r>
    </w:p>
    <w:p w14:paraId="6848EBE4" w14:textId="0F8E16D8" w:rsidR="00712D61" w:rsidRPr="00D73819" w:rsidRDefault="00712D61" w:rsidP="00712D61">
      <w:pPr>
        <w:jc w:val="both"/>
        <w:rPr>
          <w:rFonts w:ascii="Verdana" w:hAnsi="Verdana"/>
          <w:sz w:val="22"/>
          <w:szCs w:val="22"/>
        </w:rPr>
      </w:pPr>
      <w:r w:rsidRPr="004931C3">
        <w:rPr>
          <w:rFonts w:ascii="Verdana" w:hAnsi="Verdana"/>
          <w:sz w:val="22"/>
          <w:szCs w:val="22"/>
          <w:u w:val="single"/>
        </w:rPr>
        <w:t>Il valore di liquidazione</w:t>
      </w:r>
      <w:r w:rsidRPr="00D73819">
        <w:rPr>
          <w:rFonts w:ascii="Verdana" w:hAnsi="Verdana"/>
          <w:sz w:val="22"/>
          <w:szCs w:val="22"/>
        </w:rPr>
        <w:t xml:space="preserve"> è il valore che i creditori otterrebbero nell’alternativa liquidatoria. Su questo valore si applica l’Absolute Priority Rule: esso deve essere destinato ai creditori secondo l’ordine delle cause di prelazione, e i soci non possono vantare alcuna pretesa fino all’integrale soddisfacimento dei creditori.</w:t>
      </w:r>
    </w:p>
    <w:p w14:paraId="508E8B61" w14:textId="77777777" w:rsidR="00712D61" w:rsidRPr="00D73819" w:rsidRDefault="00712D61" w:rsidP="00712D61">
      <w:pPr>
        <w:jc w:val="both"/>
        <w:rPr>
          <w:rFonts w:ascii="Verdana" w:hAnsi="Verdana"/>
          <w:sz w:val="22"/>
          <w:szCs w:val="22"/>
        </w:rPr>
      </w:pPr>
      <w:r w:rsidRPr="004931C3">
        <w:rPr>
          <w:rFonts w:ascii="Verdana" w:hAnsi="Verdana"/>
          <w:sz w:val="22"/>
          <w:szCs w:val="22"/>
          <w:u w:val="single"/>
        </w:rPr>
        <w:t>Il valore eccedente quello di liquidazione</w:t>
      </w:r>
      <w:r w:rsidRPr="00D73819">
        <w:rPr>
          <w:rFonts w:ascii="Verdana" w:hAnsi="Verdana"/>
          <w:sz w:val="22"/>
          <w:szCs w:val="22"/>
        </w:rPr>
        <w:t xml:space="preserve"> è la parte della provvista concordataria che supera il valore di liquidazione e viene destinata ai creditori in esecuzione della proposta. Su questa componente opera la Relative Priority Rule.</w:t>
      </w:r>
    </w:p>
    <w:p w14:paraId="017D7BE1" w14:textId="74828AE4" w:rsidR="008E3231" w:rsidRPr="00D73819" w:rsidRDefault="003E247C" w:rsidP="00712D61">
      <w:pPr>
        <w:jc w:val="both"/>
        <w:rPr>
          <w:rFonts w:ascii="Verdana" w:hAnsi="Verdana"/>
          <w:sz w:val="22"/>
          <w:szCs w:val="22"/>
        </w:rPr>
      </w:pPr>
      <w:r w:rsidRPr="008F4927">
        <w:rPr>
          <w:rFonts w:ascii="Verdana" w:hAnsi="Verdana"/>
          <w:sz w:val="22"/>
          <w:szCs w:val="22"/>
          <w:u w:val="single"/>
        </w:rPr>
        <w:t>La disciplina</w:t>
      </w:r>
      <w:r w:rsidR="00BB2545" w:rsidRPr="008F4927">
        <w:rPr>
          <w:rFonts w:ascii="Verdana" w:hAnsi="Verdana"/>
          <w:sz w:val="22"/>
          <w:szCs w:val="22"/>
          <w:u w:val="single"/>
        </w:rPr>
        <w:t xml:space="preserve"> del valore riservato ai soci introduce un nuovo concetto, i</w:t>
      </w:r>
      <w:r w:rsidR="00712D61" w:rsidRPr="008F4927">
        <w:rPr>
          <w:rFonts w:ascii="Verdana" w:hAnsi="Verdana"/>
          <w:sz w:val="22"/>
          <w:szCs w:val="22"/>
          <w:u w:val="single"/>
        </w:rPr>
        <w:t>l valore di ristrutturazione</w:t>
      </w:r>
      <w:r w:rsidR="00BB2545" w:rsidRPr="00D73819">
        <w:rPr>
          <w:rFonts w:ascii="Verdana" w:hAnsi="Verdana"/>
          <w:sz w:val="22"/>
          <w:szCs w:val="22"/>
        </w:rPr>
        <w:t xml:space="preserve"> che, i</w:t>
      </w:r>
      <w:r w:rsidR="00712D61" w:rsidRPr="00D73819">
        <w:rPr>
          <w:rFonts w:ascii="Verdana" w:hAnsi="Verdana"/>
          <w:sz w:val="22"/>
          <w:szCs w:val="22"/>
        </w:rPr>
        <w:t xml:space="preserve">nvece, è una nozione più ampia. Esso riguarda il valore complessivo dell’impresa risanata, anche </w:t>
      </w:r>
      <w:r w:rsidR="00712D61" w:rsidRPr="00D73819">
        <w:rPr>
          <w:rFonts w:ascii="Verdana" w:hAnsi="Verdana"/>
          <w:sz w:val="22"/>
          <w:szCs w:val="22"/>
          <w:u w:val="single"/>
        </w:rPr>
        <w:t>oltre l’orizzonte del piano</w:t>
      </w:r>
      <w:r w:rsidR="00712D61" w:rsidRPr="00D73819">
        <w:rPr>
          <w:rFonts w:ascii="Verdana" w:hAnsi="Verdana"/>
          <w:sz w:val="22"/>
          <w:szCs w:val="22"/>
        </w:rPr>
        <w:t>. Non tutto il valore di ristrutturazione diventa necessariamente provvista concordataria; una parte può restare nella società e riflettersi sulle partecipazioni dei soci</w:t>
      </w:r>
      <w:r w:rsidRPr="00D73819">
        <w:rPr>
          <w:rFonts w:ascii="Verdana" w:hAnsi="Verdana"/>
          <w:sz w:val="22"/>
          <w:szCs w:val="22"/>
        </w:rPr>
        <w:t>, a determinate condizioni</w:t>
      </w:r>
      <w:r w:rsidR="00474C51" w:rsidRPr="00D73819">
        <w:rPr>
          <w:rFonts w:ascii="Verdana" w:hAnsi="Verdana"/>
          <w:sz w:val="22"/>
          <w:szCs w:val="22"/>
        </w:rPr>
        <w:t>, indicate dall’</w:t>
      </w:r>
      <w:r w:rsidR="00712D61" w:rsidRPr="00D73819">
        <w:rPr>
          <w:rFonts w:ascii="Verdana" w:hAnsi="Verdana"/>
          <w:sz w:val="22"/>
          <w:szCs w:val="22"/>
        </w:rPr>
        <w:t>art. 120-quater</w:t>
      </w:r>
      <w:r w:rsidR="00474C51" w:rsidRPr="00D73819">
        <w:rPr>
          <w:rFonts w:ascii="Verdana" w:hAnsi="Verdana"/>
          <w:sz w:val="22"/>
          <w:szCs w:val="22"/>
        </w:rPr>
        <w:t>.</w:t>
      </w:r>
    </w:p>
    <w:p w14:paraId="406B8950" w14:textId="77777777" w:rsidR="00075F56" w:rsidRPr="00D73819" w:rsidRDefault="00075F56" w:rsidP="00712D61">
      <w:pPr>
        <w:jc w:val="both"/>
        <w:rPr>
          <w:rFonts w:ascii="Verdana" w:hAnsi="Verdana"/>
          <w:sz w:val="22"/>
          <w:szCs w:val="22"/>
        </w:rPr>
      </w:pPr>
    </w:p>
    <w:p w14:paraId="515B168E" w14:textId="0FD54B7F" w:rsidR="00E30419" w:rsidRPr="00D73819" w:rsidRDefault="001B3852" w:rsidP="00712D61">
      <w:pPr>
        <w:jc w:val="both"/>
        <w:rPr>
          <w:rFonts w:ascii="Verdana" w:hAnsi="Verdana"/>
          <w:sz w:val="22"/>
          <w:szCs w:val="22"/>
          <w:u w:val="single"/>
        </w:rPr>
      </w:pPr>
      <w:r w:rsidRPr="00D73819">
        <w:rPr>
          <w:rFonts w:ascii="Verdana" w:hAnsi="Verdana"/>
          <w:sz w:val="22"/>
          <w:szCs w:val="22"/>
          <w:u w:val="single"/>
        </w:rPr>
        <w:t>Postergazione non assoluta dei soci</w:t>
      </w:r>
    </w:p>
    <w:p w14:paraId="387C5E15" w14:textId="77777777" w:rsidR="008F4927" w:rsidRDefault="008D68C3" w:rsidP="00712D61">
      <w:pPr>
        <w:jc w:val="both"/>
        <w:rPr>
          <w:rFonts w:ascii="Verdana" w:hAnsi="Verdana"/>
          <w:sz w:val="22"/>
          <w:szCs w:val="22"/>
        </w:rPr>
      </w:pPr>
      <w:r w:rsidRPr="008F4927">
        <w:rPr>
          <w:rFonts w:ascii="Verdana" w:hAnsi="Verdana"/>
          <w:sz w:val="22"/>
          <w:szCs w:val="22"/>
          <w:u w:val="single"/>
        </w:rPr>
        <w:t>N</w:t>
      </w:r>
      <w:r w:rsidR="00712D61" w:rsidRPr="008F4927">
        <w:rPr>
          <w:rFonts w:ascii="Verdana" w:hAnsi="Verdana"/>
          <w:sz w:val="22"/>
          <w:szCs w:val="22"/>
          <w:u w:val="single"/>
        </w:rPr>
        <w:t>el sistema attuale, i soci non sono rigidamente postergati rispetto ai creditori su tutto il valore della ristrutturazione</w:t>
      </w:r>
      <w:r w:rsidR="00712D61" w:rsidRPr="00D73819">
        <w:rPr>
          <w:rFonts w:ascii="Verdana" w:hAnsi="Verdana"/>
          <w:sz w:val="22"/>
          <w:szCs w:val="22"/>
        </w:rPr>
        <w:t xml:space="preserve">. </w:t>
      </w:r>
    </w:p>
    <w:p w14:paraId="07767BD2" w14:textId="1B12BA28" w:rsidR="00712D61" w:rsidRPr="00D73819" w:rsidRDefault="00712D61" w:rsidP="00712D61">
      <w:pPr>
        <w:jc w:val="both"/>
        <w:rPr>
          <w:rFonts w:ascii="Verdana" w:hAnsi="Verdana"/>
          <w:sz w:val="22"/>
          <w:szCs w:val="22"/>
        </w:rPr>
      </w:pPr>
      <w:r w:rsidRPr="00D73819">
        <w:rPr>
          <w:rFonts w:ascii="Verdana" w:hAnsi="Verdana"/>
          <w:sz w:val="22"/>
          <w:szCs w:val="22"/>
        </w:rPr>
        <w:t>La postergazione assoluta opera sul valore di liquidazione, ma non necessariamente sull’intero valore futuro dell’impresa risanata.</w:t>
      </w:r>
    </w:p>
    <w:p w14:paraId="6778DB23" w14:textId="710966BD" w:rsidR="00712D61" w:rsidRPr="00FB10C6" w:rsidRDefault="00712D61" w:rsidP="00712D61">
      <w:pPr>
        <w:jc w:val="both"/>
        <w:rPr>
          <w:rFonts w:ascii="Verdana" w:hAnsi="Verdana"/>
          <w:sz w:val="22"/>
          <w:szCs w:val="22"/>
          <w:u w:val="single"/>
        </w:rPr>
      </w:pPr>
      <w:r w:rsidRPr="00D73819">
        <w:rPr>
          <w:rFonts w:ascii="Verdana" w:hAnsi="Verdana"/>
          <w:sz w:val="22"/>
          <w:szCs w:val="22"/>
        </w:rPr>
        <w:lastRenderedPageBreak/>
        <w:t>Questa conclusione è confermata</w:t>
      </w:r>
      <w:r w:rsidR="008F4927">
        <w:rPr>
          <w:rFonts w:ascii="Verdana" w:hAnsi="Verdana"/>
          <w:sz w:val="22"/>
          <w:szCs w:val="22"/>
        </w:rPr>
        <w:t xml:space="preserve"> </w:t>
      </w:r>
      <w:r w:rsidRPr="00D73819">
        <w:rPr>
          <w:rFonts w:ascii="Verdana" w:hAnsi="Verdana"/>
          <w:sz w:val="22"/>
          <w:szCs w:val="22"/>
        </w:rPr>
        <w:t xml:space="preserve">proprio dalla disciplina dell’infima classe dissenziente: se i soci possono ricevere un valore quasi pari a quello riservato a tale classe, è evidente che </w:t>
      </w:r>
      <w:r w:rsidRPr="00FB10C6">
        <w:rPr>
          <w:rFonts w:ascii="Verdana" w:hAnsi="Verdana"/>
          <w:sz w:val="22"/>
          <w:szCs w:val="22"/>
          <w:u w:val="single"/>
        </w:rPr>
        <w:t>non si applica una Absolute Priority Rule piena nel rapporto tra creditori e soci.</w:t>
      </w:r>
    </w:p>
    <w:p w14:paraId="682CC788" w14:textId="77777777" w:rsidR="00E30419" w:rsidRPr="00D73819" w:rsidRDefault="00E30419" w:rsidP="00712D61">
      <w:pPr>
        <w:jc w:val="both"/>
        <w:rPr>
          <w:rFonts w:ascii="Verdana" w:hAnsi="Verdana"/>
          <w:sz w:val="22"/>
          <w:szCs w:val="22"/>
        </w:rPr>
      </w:pPr>
    </w:p>
    <w:p w14:paraId="080AE98F" w14:textId="20EBEA28" w:rsidR="000119F7" w:rsidRPr="00D73819" w:rsidRDefault="000119F7" w:rsidP="000119F7">
      <w:pPr>
        <w:jc w:val="both"/>
        <w:rPr>
          <w:rFonts w:ascii="Verdana" w:hAnsi="Verdana"/>
          <w:sz w:val="22"/>
          <w:szCs w:val="22"/>
          <w:u w:val="single"/>
        </w:rPr>
      </w:pPr>
      <w:r w:rsidRPr="00D73819">
        <w:rPr>
          <w:rFonts w:ascii="Verdana" w:hAnsi="Verdana"/>
          <w:sz w:val="22"/>
          <w:szCs w:val="22"/>
          <w:u w:val="single"/>
        </w:rPr>
        <w:t xml:space="preserve">L’art. 120-quater non è una vera regola distributiva. </w:t>
      </w:r>
    </w:p>
    <w:p w14:paraId="7029FEEA" w14:textId="7FBA79B2" w:rsidR="001D354D" w:rsidRPr="001D354D" w:rsidRDefault="000119F7" w:rsidP="000119F7">
      <w:pPr>
        <w:jc w:val="both"/>
        <w:rPr>
          <w:rFonts w:ascii="Verdana" w:hAnsi="Verdana"/>
          <w:sz w:val="22"/>
          <w:szCs w:val="22"/>
          <w:u w:val="single"/>
        </w:rPr>
      </w:pPr>
      <w:r w:rsidRPr="001D354D">
        <w:rPr>
          <w:rFonts w:ascii="Verdana" w:hAnsi="Verdana"/>
          <w:sz w:val="22"/>
          <w:szCs w:val="22"/>
          <w:u w:val="single"/>
        </w:rPr>
        <w:t xml:space="preserve">Non stabilisce </w:t>
      </w:r>
      <w:r w:rsidRPr="001D354D">
        <w:rPr>
          <w:rFonts w:ascii="Verdana" w:hAnsi="Verdana"/>
          <w:i/>
          <w:iCs/>
          <w:sz w:val="22"/>
          <w:szCs w:val="22"/>
          <w:u w:val="single"/>
        </w:rPr>
        <w:t>ex ante</w:t>
      </w:r>
      <w:r w:rsidRPr="001D354D">
        <w:rPr>
          <w:rFonts w:ascii="Verdana" w:hAnsi="Verdana"/>
          <w:sz w:val="22"/>
          <w:szCs w:val="22"/>
          <w:u w:val="single"/>
        </w:rPr>
        <w:t xml:space="preserve"> come debba essere ripartito il valore tra creditori e soci. </w:t>
      </w:r>
    </w:p>
    <w:p w14:paraId="25AED603" w14:textId="16254DEC" w:rsidR="000119F7" w:rsidRPr="00D73819" w:rsidRDefault="000119F7" w:rsidP="000119F7">
      <w:pPr>
        <w:jc w:val="both"/>
        <w:rPr>
          <w:rFonts w:ascii="Verdana" w:hAnsi="Verdana"/>
          <w:sz w:val="22"/>
          <w:szCs w:val="22"/>
        </w:rPr>
      </w:pPr>
      <w:r w:rsidRPr="001D354D">
        <w:rPr>
          <w:rFonts w:ascii="Verdana" w:hAnsi="Verdana"/>
          <w:sz w:val="22"/>
          <w:szCs w:val="22"/>
          <w:u w:val="single"/>
        </w:rPr>
        <w:t>Opera solo come condizione speciale di omologazione quando ricorrono tre presupposti</w:t>
      </w:r>
      <w:r w:rsidRPr="00D73819">
        <w:rPr>
          <w:rFonts w:ascii="Verdana" w:hAnsi="Verdana"/>
          <w:sz w:val="22"/>
          <w:szCs w:val="22"/>
        </w:rPr>
        <w:t>:</w:t>
      </w:r>
    </w:p>
    <w:p w14:paraId="323E19D3" w14:textId="77777777" w:rsidR="00602B57" w:rsidRPr="00D73819" w:rsidRDefault="00602B57">
      <w:pPr>
        <w:jc w:val="both"/>
        <w:rPr>
          <w:rFonts w:ascii="Verdana" w:hAnsi="Verdana"/>
          <w:sz w:val="22"/>
          <w:szCs w:val="22"/>
        </w:rPr>
      </w:pPr>
      <w:r w:rsidRPr="00D73819">
        <w:rPr>
          <w:rFonts w:ascii="Verdana" w:hAnsi="Verdana"/>
          <w:sz w:val="22"/>
          <w:szCs w:val="22"/>
        </w:rPr>
        <w:t>1. vi sono attribuzioni ai soci anteriori;</w:t>
      </w:r>
    </w:p>
    <w:p w14:paraId="70EEA9DA" w14:textId="77777777" w:rsidR="00602B57" w:rsidRPr="00D73819" w:rsidRDefault="00602B57">
      <w:pPr>
        <w:jc w:val="both"/>
        <w:rPr>
          <w:rFonts w:ascii="Verdana" w:hAnsi="Verdana"/>
          <w:sz w:val="22"/>
          <w:szCs w:val="22"/>
        </w:rPr>
      </w:pPr>
      <w:r w:rsidRPr="00D73819">
        <w:rPr>
          <w:rFonts w:ascii="Verdana" w:hAnsi="Verdana"/>
          <w:sz w:val="22"/>
          <w:szCs w:val="22"/>
        </w:rPr>
        <w:t>2. vi è il dissenso di almeno una classe di creditori;</w:t>
      </w:r>
    </w:p>
    <w:p w14:paraId="0DF50C0F" w14:textId="77777777" w:rsidR="00602B57" w:rsidRPr="00D73819" w:rsidRDefault="00602B57">
      <w:pPr>
        <w:jc w:val="both"/>
        <w:rPr>
          <w:rFonts w:ascii="Verdana" w:hAnsi="Verdana"/>
          <w:sz w:val="22"/>
          <w:szCs w:val="22"/>
        </w:rPr>
      </w:pPr>
      <w:r w:rsidRPr="00D73819">
        <w:rPr>
          <w:rFonts w:ascii="Verdana" w:hAnsi="Verdana"/>
          <w:sz w:val="22"/>
          <w:szCs w:val="22"/>
        </w:rPr>
        <w:t>3. il debitore chiede l’omologazione mediante ristrutturazione trasversale.</w:t>
      </w:r>
    </w:p>
    <w:p w14:paraId="54A92570" w14:textId="77777777" w:rsidR="000119F7" w:rsidRPr="00D73819" w:rsidRDefault="000119F7" w:rsidP="000119F7">
      <w:pPr>
        <w:jc w:val="both"/>
        <w:rPr>
          <w:rFonts w:ascii="Verdana" w:hAnsi="Verdana"/>
          <w:sz w:val="22"/>
          <w:szCs w:val="22"/>
        </w:rPr>
      </w:pPr>
    </w:p>
    <w:p w14:paraId="780E1087" w14:textId="77777777" w:rsidR="000119F7" w:rsidRPr="00D73819" w:rsidRDefault="000119F7" w:rsidP="000119F7">
      <w:pPr>
        <w:jc w:val="both"/>
        <w:rPr>
          <w:rFonts w:ascii="Verdana" w:hAnsi="Verdana"/>
          <w:sz w:val="22"/>
          <w:szCs w:val="22"/>
        </w:rPr>
      </w:pPr>
      <w:r w:rsidRPr="00D73819">
        <w:rPr>
          <w:rFonts w:ascii="Verdana" w:hAnsi="Verdana"/>
          <w:sz w:val="22"/>
          <w:szCs w:val="22"/>
        </w:rPr>
        <w:t>Se tutte le classi approvano la proposta, oppure se i soci sono successivi alla domanda, oppure se manca una ristrutturazione trasversale, la norma non opera.</w:t>
      </w:r>
    </w:p>
    <w:p w14:paraId="0DE95B56" w14:textId="77777777" w:rsidR="00E30419" w:rsidRPr="00D73819" w:rsidRDefault="00E30419" w:rsidP="00712D61">
      <w:pPr>
        <w:jc w:val="both"/>
        <w:rPr>
          <w:rFonts w:ascii="Verdana" w:hAnsi="Verdana"/>
          <w:sz w:val="22"/>
          <w:szCs w:val="22"/>
        </w:rPr>
      </w:pPr>
    </w:p>
    <w:p w14:paraId="3966DB1C" w14:textId="77777777" w:rsidR="00F47BA2" w:rsidRPr="00D73819" w:rsidRDefault="00602B57">
      <w:pPr>
        <w:jc w:val="both"/>
        <w:rPr>
          <w:rFonts w:ascii="Verdana" w:hAnsi="Verdana"/>
          <w:sz w:val="22"/>
          <w:szCs w:val="22"/>
        </w:rPr>
      </w:pPr>
      <w:r w:rsidRPr="00D73819">
        <w:rPr>
          <w:rFonts w:ascii="Verdana" w:hAnsi="Verdana"/>
          <w:sz w:val="22"/>
          <w:szCs w:val="22"/>
          <w:u w:val="single"/>
        </w:rPr>
        <w:t>In conclusione, la traduzione operativa della norma è complessa e delicata</w:t>
      </w:r>
      <w:r w:rsidRPr="00D73819">
        <w:rPr>
          <w:rFonts w:ascii="Verdana" w:hAnsi="Verdana"/>
          <w:sz w:val="22"/>
          <w:szCs w:val="22"/>
        </w:rPr>
        <w:t xml:space="preserve">. </w:t>
      </w:r>
    </w:p>
    <w:p w14:paraId="3925DF3A" w14:textId="77777777" w:rsidR="00FB10C6" w:rsidRDefault="00FB10C6">
      <w:pPr>
        <w:jc w:val="both"/>
        <w:rPr>
          <w:rFonts w:ascii="Verdana" w:hAnsi="Verdana"/>
          <w:sz w:val="22"/>
          <w:szCs w:val="22"/>
        </w:rPr>
      </w:pPr>
    </w:p>
    <w:p w14:paraId="61FEDDE2" w14:textId="264827A6" w:rsidR="00C419A3" w:rsidRDefault="00C419A3">
      <w:pPr>
        <w:jc w:val="both"/>
        <w:rPr>
          <w:rFonts w:ascii="Verdana" w:hAnsi="Verdana"/>
          <w:sz w:val="22"/>
          <w:szCs w:val="22"/>
        </w:rPr>
      </w:pPr>
      <w:r>
        <w:rPr>
          <w:rFonts w:ascii="Verdana" w:hAnsi="Verdana"/>
          <w:sz w:val="22"/>
          <w:szCs w:val="22"/>
        </w:rPr>
        <w:t>Gli snodi maggiormente critici sono:</w:t>
      </w:r>
    </w:p>
    <w:p w14:paraId="4C7575FD" w14:textId="77777777" w:rsidR="00C419A3" w:rsidRDefault="00C419A3">
      <w:pPr>
        <w:jc w:val="both"/>
        <w:rPr>
          <w:rFonts w:ascii="Verdana" w:hAnsi="Verdana"/>
          <w:sz w:val="22"/>
          <w:szCs w:val="22"/>
        </w:rPr>
      </w:pPr>
      <w:r>
        <w:rPr>
          <w:rFonts w:ascii="Verdana" w:hAnsi="Verdana"/>
          <w:sz w:val="22"/>
          <w:szCs w:val="22"/>
        </w:rPr>
        <w:t xml:space="preserve">- </w:t>
      </w:r>
      <w:r w:rsidRPr="00FB10C6">
        <w:rPr>
          <w:rFonts w:ascii="Verdana" w:hAnsi="Verdana"/>
          <w:sz w:val="22"/>
          <w:szCs w:val="22"/>
          <w:u w:val="single"/>
        </w:rPr>
        <w:t>l</w:t>
      </w:r>
      <w:r w:rsidR="00602B57" w:rsidRPr="00FB10C6">
        <w:rPr>
          <w:rFonts w:ascii="Verdana" w:hAnsi="Verdana"/>
          <w:sz w:val="22"/>
          <w:szCs w:val="22"/>
          <w:u w:val="single"/>
        </w:rPr>
        <w:t>’ambigua definizione di “valore effettivo</w:t>
      </w:r>
      <w:r w:rsidR="00602B57" w:rsidRPr="00D73819">
        <w:rPr>
          <w:rFonts w:ascii="Verdana" w:hAnsi="Verdana"/>
          <w:sz w:val="22"/>
          <w:szCs w:val="22"/>
        </w:rPr>
        <w:t>”, agganciata a principi desunti dalla scienza aziendale</w:t>
      </w:r>
      <w:r>
        <w:rPr>
          <w:rFonts w:ascii="Verdana" w:hAnsi="Verdana"/>
          <w:sz w:val="22"/>
          <w:szCs w:val="22"/>
        </w:rPr>
        <w:t>;</w:t>
      </w:r>
    </w:p>
    <w:p w14:paraId="52A3E5F7" w14:textId="77777777" w:rsidR="00C419A3" w:rsidRDefault="00C419A3">
      <w:pPr>
        <w:jc w:val="both"/>
        <w:rPr>
          <w:rFonts w:ascii="Verdana" w:hAnsi="Verdana"/>
          <w:sz w:val="22"/>
          <w:szCs w:val="22"/>
        </w:rPr>
      </w:pPr>
      <w:r>
        <w:rPr>
          <w:rFonts w:ascii="Verdana" w:hAnsi="Verdana"/>
          <w:sz w:val="22"/>
          <w:szCs w:val="22"/>
        </w:rPr>
        <w:t>-</w:t>
      </w:r>
      <w:r w:rsidR="00602B57" w:rsidRPr="00D73819">
        <w:rPr>
          <w:rFonts w:ascii="Verdana" w:hAnsi="Verdana"/>
          <w:sz w:val="22"/>
          <w:szCs w:val="22"/>
        </w:rPr>
        <w:t xml:space="preserve"> </w:t>
      </w:r>
      <w:r w:rsidR="00602B57" w:rsidRPr="00FB10C6">
        <w:rPr>
          <w:rFonts w:ascii="Verdana" w:hAnsi="Verdana"/>
          <w:sz w:val="22"/>
          <w:szCs w:val="22"/>
          <w:u w:val="single"/>
        </w:rPr>
        <w:t>la mancanza di espliciti criteri di ripartizione del valore “effettivo”</w:t>
      </w:r>
      <w:r w:rsidR="00602B57" w:rsidRPr="00D73819">
        <w:rPr>
          <w:rFonts w:ascii="Verdana" w:hAnsi="Verdana"/>
          <w:sz w:val="22"/>
          <w:szCs w:val="22"/>
        </w:rPr>
        <w:t xml:space="preserve"> attribuito ai soci tra classi</w:t>
      </w:r>
      <w:r>
        <w:rPr>
          <w:rFonts w:ascii="Verdana" w:hAnsi="Verdana"/>
          <w:sz w:val="22"/>
          <w:szCs w:val="22"/>
        </w:rPr>
        <w:t>;</w:t>
      </w:r>
    </w:p>
    <w:p w14:paraId="5C5E0BF2" w14:textId="3DC0C285" w:rsidR="00F47BA2" w:rsidRPr="00D73819" w:rsidRDefault="00C419A3">
      <w:pPr>
        <w:jc w:val="both"/>
        <w:rPr>
          <w:rFonts w:ascii="Verdana" w:hAnsi="Verdana"/>
          <w:sz w:val="22"/>
          <w:szCs w:val="22"/>
        </w:rPr>
      </w:pPr>
      <w:r>
        <w:rPr>
          <w:rFonts w:ascii="Verdana" w:hAnsi="Verdana"/>
          <w:sz w:val="22"/>
          <w:szCs w:val="22"/>
        </w:rPr>
        <w:t>-</w:t>
      </w:r>
      <w:r w:rsidR="00602B57" w:rsidRPr="00D73819">
        <w:rPr>
          <w:rFonts w:ascii="Verdana" w:hAnsi="Verdana"/>
          <w:sz w:val="22"/>
          <w:szCs w:val="22"/>
        </w:rPr>
        <w:t xml:space="preserve"> </w:t>
      </w:r>
      <w:r w:rsidRPr="00FB10C6">
        <w:rPr>
          <w:rFonts w:ascii="Verdana" w:hAnsi="Verdana"/>
          <w:sz w:val="22"/>
          <w:szCs w:val="22"/>
          <w:u w:val="single"/>
        </w:rPr>
        <w:t xml:space="preserve">il </w:t>
      </w:r>
      <w:r w:rsidR="00602B57" w:rsidRPr="00FB10C6">
        <w:rPr>
          <w:rFonts w:ascii="Verdana" w:hAnsi="Verdana"/>
          <w:sz w:val="22"/>
          <w:szCs w:val="22"/>
          <w:u w:val="single"/>
        </w:rPr>
        <w:t>fatto che l’eventuale controllo del rispetto dell’art. 120-quater CCII sia rimesso alla sola fase di omologazione, quando eventuali correttivi non sono più apportabil</w:t>
      </w:r>
      <w:r w:rsidRPr="00FB10C6">
        <w:rPr>
          <w:rFonts w:ascii="Verdana" w:hAnsi="Verdana"/>
          <w:sz w:val="22"/>
          <w:szCs w:val="22"/>
          <w:u w:val="single"/>
        </w:rPr>
        <w:t>i</w:t>
      </w:r>
      <w:r>
        <w:rPr>
          <w:rFonts w:ascii="Verdana" w:hAnsi="Verdana"/>
          <w:sz w:val="22"/>
          <w:szCs w:val="22"/>
        </w:rPr>
        <w:t>.</w:t>
      </w:r>
      <w:r w:rsidR="00602B57" w:rsidRPr="00D73819">
        <w:rPr>
          <w:rFonts w:ascii="Verdana" w:hAnsi="Verdana"/>
          <w:sz w:val="22"/>
          <w:szCs w:val="22"/>
        </w:rPr>
        <w:t xml:space="preserve"> </w:t>
      </w:r>
    </w:p>
    <w:p w14:paraId="5A60CB2E" w14:textId="77777777" w:rsidR="00C419A3" w:rsidRDefault="00C419A3">
      <w:pPr>
        <w:jc w:val="both"/>
        <w:rPr>
          <w:rFonts w:ascii="Verdana" w:hAnsi="Verdana"/>
          <w:sz w:val="22"/>
          <w:szCs w:val="22"/>
        </w:rPr>
      </w:pPr>
    </w:p>
    <w:p w14:paraId="1278EEE6" w14:textId="77777777" w:rsidR="00C419A3" w:rsidRDefault="00602B57">
      <w:pPr>
        <w:jc w:val="both"/>
        <w:rPr>
          <w:rFonts w:ascii="Verdana" w:hAnsi="Verdana"/>
          <w:sz w:val="22"/>
          <w:szCs w:val="22"/>
        </w:rPr>
      </w:pPr>
      <w:r w:rsidRPr="00D73819">
        <w:rPr>
          <w:rFonts w:ascii="Verdana" w:hAnsi="Verdana"/>
          <w:sz w:val="22"/>
          <w:szCs w:val="22"/>
        </w:rPr>
        <w:t xml:space="preserve">In linea di principio, la conoscenza della regola prevista dall’art. 120-quater CCII potrebbe consentire una gestione strategica dell’allocazione del valore “effettivo” destinato ai soci, purché supportata da pareri professionali indipendenti. </w:t>
      </w:r>
    </w:p>
    <w:p w14:paraId="1A4ED44A" w14:textId="4B54E243" w:rsidR="00602B57" w:rsidRPr="00D73819" w:rsidRDefault="00602B57">
      <w:pPr>
        <w:jc w:val="both"/>
        <w:rPr>
          <w:rFonts w:ascii="Verdana" w:hAnsi="Verdana"/>
          <w:sz w:val="22"/>
          <w:szCs w:val="22"/>
        </w:rPr>
      </w:pPr>
      <w:r w:rsidRPr="00D73819">
        <w:rPr>
          <w:rFonts w:ascii="Verdana" w:hAnsi="Verdana"/>
          <w:sz w:val="22"/>
          <w:szCs w:val="22"/>
        </w:rPr>
        <w:t xml:space="preserve">Tuttavia, nella pratica, </w:t>
      </w:r>
      <w:r w:rsidRPr="00FB10C6">
        <w:rPr>
          <w:rFonts w:ascii="Verdana" w:hAnsi="Verdana"/>
          <w:sz w:val="22"/>
          <w:szCs w:val="22"/>
          <w:u w:val="single"/>
        </w:rPr>
        <w:t>l’elevato grado di alea interpretativa rende la proposta concordataria particolarmente vulnerabile</w:t>
      </w:r>
      <w:r w:rsidRPr="00D73819">
        <w:rPr>
          <w:rFonts w:ascii="Verdana" w:hAnsi="Verdana"/>
          <w:sz w:val="22"/>
          <w:szCs w:val="22"/>
        </w:rPr>
        <w:t xml:space="preserve"> e induce a preferire strumenti alternativi – come i piani di ristrutturazione omologati o gli accordi ad efficacia estesa – i quali, pur meno garantistici per i creditori, non impongono regole di distribuzione del valore tra soci e classi dissenzienti.</w:t>
      </w:r>
    </w:p>
    <w:p w14:paraId="67F9E00D" w14:textId="20BB8590" w:rsidR="00D46001" w:rsidRPr="00D73819" w:rsidRDefault="00D46001" w:rsidP="00D46001">
      <w:pPr>
        <w:rPr>
          <w:rFonts w:ascii="Verdana" w:hAnsi="Verdana"/>
          <w:sz w:val="22"/>
          <w:szCs w:val="22"/>
        </w:rPr>
      </w:pPr>
    </w:p>
    <w:p w14:paraId="7815479C" w14:textId="1D5DF90F" w:rsidR="00D46001" w:rsidRPr="00D73819" w:rsidRDefault="00D46001" w:rsidP="00D46001">
      <w:pPr>
        <w:rPr>
          <w:rFonts w:ascii="Verdana" w:hAnsi="Verdana"/>
          <w:b/>
          <w:bCs/>
          <w:sz w:val="22"/>
          <w:szCs w:val="22"/>
        </w:rPr>
      </w:pPr>
      <w:r w:rsidRPr="00D73819">
        <w:rPr>
          <w:rFonts w:ascii="Verdana" w:hAnsi="Verdana"/>
          <w:b/>
          <w:bCs/>
          <w:sz w:val="22"/>
          <w:szCs w:val="22"/>
        </w:rPr>
        <w:t>Bibliografia</w:t>
      </w:r>
    </w:p>
    <w:p w14:paraId="3F1F7FFD" w14:textId="77777777" w:rsidR="0007044E" w:rsidRPr="00D73819" w:rsidRDefault="0007044E" w:rsidP="005572B8">
      <w:pPr>
        <w:jc w:val="both"/>
        <w:rPr>
          <w:rFonts w:ascii="Verdana" w:hAnsi="Verdana"/>
          <w:sz w:val="22"/>
          <w:szCs w:val="22"/>
        </w:rPr>
      </w:pPr>
      <w:r w:rsidRPr="00D73819">
        <w:rPr>
          <w:rFonts w:ascii="Verdana" w:hAnsi="Verdana"/>
          <w:sz w:val="22"/>
          <w:szCs w:val="22"/>
        </w:rPr>
        <w:t>Benazzo, P., Gli strumenti di regolazione della crisi delle società e i diritti “corporativi”: che ne resta dei soci?, in www.dirittodellacrisi.it, 4 dicembre 2023.</w:t>
      </w:r>
    </w:p>
    <w:p w14:paraId="6C8852FD" w14:textId="77777777" w:rsidR="0007044E" w:rsidRPr="00D73819" w:rsidRDefault="0007044E" w:rsidP="005572B8">
      <w:pPr>
        <w:jc w:val="both"/>
        <w:rPr>
          <w:rFonts w:ascii="Verdana" w:hAnsi="Verdana"/>
          <w:sz w:val="22"/>
          <w:szCs w:val="22"/>
        </w:rPr>
      </w:pPr>
      <w:r w:rsidRPr="00D73819">
        <w:rPr>
          <w:rFonts w:ascii="Verdana" w:hAnsi="Verdana"/>
          <w:sz w:val="22"/>
          <w:szCs w:val="22"/>
        </w:rPr>
        <w:t>Benazzo, P., Il codice della crisi e il nuovo correttivo: il punto (storico e prospettico) sul diritto societario della crisi, in Procedure concorsuali e crisi d’impresa, 2025, 98 ss.</w:t>
      </w:r>
    </w:p>
    <w:p w14:paraId="7DBE8F51" w14:textId="413FF5C0" w:rsidR="0007044E" w:rsidRPr="00D73819" w:rsidRDefault="0007044E" w:rsidP="005572B8">
      <w:pPr>
        <w:jc w:val="both"/>
        <w:rPr>
          <w:rFonts w:ascii="Verdana" w:hAnsi="Verdana"/>
          <w:sz w:val="22"/>
          <w:szCs w:val="22"/>
        </w:rPr>
      </w:pPr>
      <w:r w:rsidRPr="00D73819">
        <w:rPr>
          <w:rFonts w:ascii="Verdana" w:hAnsi="Verdana"/>
          <w:sz w:val="22"/>
          <w:szCs w:val="22"/>
        </w:rPr>
        <w:t xml:space="preserve">Bini, M., La distribuzione del valore nel concordato in continuità con attribuzioni ai soci: il difficile equilibrio tra principi di equa ripartizione e criteri di valutazione delle aziende in crisi, in </w:t>
      </w:r>
      <w:r w:rsidR="00356BBB" w:rsidRPr="00D73819">
        <w:rPr>
          <w:rFonts w:ascii="Verdana" w:hAnsi="Verdana"/>
          <w:sz w:val="22"/>
          <w:szCs w:val="22"/>
        </w:rPr>
        <w:t>www.</w:t>
      </w:r>
      <w:r w:rsidRPr="00D73819">
        <w:rPr>
          <w:rFonts w:ascii="Verdana" w:hAnsi="Verdana"/>
          <w:sz w:val="22"/>
          <w:szCs w:val="22"/>
        </w:rPr>
        <w:t>dirittodellacrisi.it, 7 novembre 2025.</w:t>
      </w:r>
    </w:p>
    <w:p w14:paraId="54B3947E" w14:textId="77777777" w:rsidR="0007044E" w:rsidRPr="00D73819" w:rsidRDefault="0007044E" w:rsidP="005572B8">
      <w:pPr>
        <w:jc w:val="both"/>
        <w:rPr>
          <w:rFonts w:ascii="Verdana" w:hAnsi="Verdana"/>
          <w:sz w:val="22"/>
          <w:szCs w:val="22"/>
        </w:rPr>
      </w:pPr>
      <w:r w:rsidRPr="00D73819">
        <w:rPr>
          <w:rFonts w:ascii="Verdana" w:hAnsi="Verdana"/>
          <w:sz w:val="22"/>
          <w:szCs w:val="22"/>
        </w:rPr>
        <w:t>Briolini, F., Appunti sul ruolo del notaio nel codice della crisi (dopo il d.lgs. 17 giugno 2022, n. 83), in Diritto fallimentare, 2022, 988 ss.</w:t>
      </w:r>
    </w:p>
    <w:p w14:paraId="096B1473" w14:textId="77777777" w:rsidR="0007044E" w:rsidRPr="00D73819" w:rsidRDefault="0007044E" w:rsidP="005572B8">
      <w:pPr>
        <w:jc w:val="both"/>
        <w:rPr>
          <w:rFonts w:ascii="Verdana" w:hAnsi="Verdana"/>
          <w:sz w:val="22"/>
          <w:szCs w:val="22"/>
        </w:rPr>
      </w:pPr>
      <w:r w:rsidRPr="00D73819">
        <w:rPr>
          <w:rFonts w:ascii="Verdana" w:hAnsi="Verdana"/>
          <w:sz w:val="22"/>
          <w:szCs w:val="22"/>
        </w:rPr>
        <w:t>Campobasso, M., La posizione dei soci nel concordato preventivo della società, in Banca, borsa, titoli di credito, 2023, 167 ss.</w:t>
      </w:r>
    </w:p>
    <w:p w14:paraId="6785786F" w14:textId="77777777" w:rsidR="0007044E" w:rsidRPr="00D73819" w:rsidRDefault="0007044E" w:rsidP="005572B8">
      <w:pPr>
        <w:jc w:val="both"/>
        <w:rPr>
          <w:rFonts w:ascii="Verdana" w:hAnsi="Verdana"/>
          <w:sz w:val="22"/>
          <w:szCs w:val="22"/>
        </w:rPr>
      </w:pPr>
      <w:r w:rsidRPr="00D73819">
        <w:rPr>
          <w:rFonts w:ascii="Verdana" w:hAnsi="Verdana"/>
          <w:sz w:val="22"/>
          <w:szCs w:val="22"/>
        </w:rPr>
        <w:t>D’Attorre, G., Le regole di distribuzione del valore, in Procedure concorsuali e crisi d’impresa, 2022, 1228 ss.</w:t>
      </w:r>
    </w:p>
    <w:p w14:paraId="130681BC" w14:textId="77777777" w:rsidR="0007044E" w:rsidRPr="00D73819" w:rsidRDefault="0007044E" w:rsidP="005572B8">
      <w:pPr>
        <w:jc w:val="both"/>
        <w:rPr>
          <w:rFonts w:ascii="Verdana" w:hAnsi="Verdana"/>
          <w:sz w:val="22"/>
          <w:szCs w:val="22"/>
        </w:rPr>
      </w:pPr>
      <w:r w:rsidRPr="00D73819">
        <w:rPr>
          <w:rFonts w:ascii="Verdana" w:hAnsi="Verdana"/>
          <w:sz w:val="22"/>
          <w:szCs w:val="22"/>
        </w:rPr>
        <w:t>D’Attorre, G., Ricchezza del risanamento imprenditoriale e sua destinazione, in Procedure concorsuali e crisi d’impresa, 2017, 1015 ss.</w:t>
      </w:r>
    </w:p>
    <w:p w14:paraId="29AF5B58" w14:textId="77777777" w:rsidR="0007044E" w:rsidRPr="00D73819" w:rsidRDefault="0007044E" w:rsidP="005572B8">
      <w:pPr>
        <w:jc w:val="both"/>
        <w:rPr>
          <w:rFonts w:ascii="Verdana" w:hAnsi="Verdana"/>
          <w:sz w:val="22"/>
          <w:szCs w:val="22"/>
        </w:rPr>
      </w:pPr>
      <w:r w:rsidRPr="00D73819">
        <w:rPr>
          <w:rFonts w:ascii="Verdana" w:hAnsi="Verdana"/>
          <w:sz w:val="22"/>
          <w:szCs w:val="22"/>
        </w:rPr>
        <w:t>De Luca, N. – Senese, M., I soci nel concordato delle società (articoli 120-ter-120-quinquies CCII), in Crisi e insolvenza dopo il Correttivo-ter. Commentario sistematico, diretto da M. Irrera e S. Cerrato, vol. 2, Bologna, 2024, 1974 ss.</w:t>
      </w:r>
    </w:p>
    <w:p w14:paraId="74B0BA7D" w14:textId="77777777" w:rsidR="0007044E" w:rsidRPr="00D73819" w:rsidRDefault="0007044E" w:rsidP="005572B8">
      <w:pPr>
        <w:jc w:val="both"/>
        <w:rPr>
          <w:rFonts w:ascii="Verdana" w:hAnsi="Verdana"/>
          <w:sz w:val="22"/>
          <w:szCs w:val="22"/>
        </w:rPr>
      </w:pPr>
      <w:r w:rsidRPr="00D73819">
        <w:rPr>
          <w:rFonts w:ascii="Verdana" w:hAnsi="Verdana"/>
          <w:sz w:val="22"/>
          <w:szCs w:val="22"/>
        </w:rPr>
        <w:lastRenderedPageBreak/>
        <w:t>Fabiani, M. – Guiotto, A., Il valore di ristrutturazione destinabile ai soci, in Procedure concorsuali e crisi d’impresa, 2024, 605 ss.</w:t>
      </w:r>
    </w:p>
    <w:p w14:paraId="0E8EDB44" w14:textId="77777777" w:rsidR="0007044E" w:rsidRPr="00D73819" w:rsidRDefault="0007044E" w:rsidP="005572B8">
      <w:pPr>
        <w:jc w:val="both"/>
        <w:rPr>
          <w:rFonts w:ascii="Verdana" w:hAnsi="Verdana"/>
          <w:sz w:val="22"/>
          <w:szCs w:val="22"/>
        </w:rPr>
      </w:pPr>
      <w:r w:rsidRPr="00D73819">
        <w:rPr>
          <w:rFonts w:ascii="Verdana" w:hAnsi="Verdana"/>
          <w:sz w:val="22"/>
          <w:szCs w:val="22"/>
        </w:rPr>
        <w:t>Guerrera, F., L’espansione della regola di competenza esclusiva degli amministratori nel diritto societario della crisi fra dogmatismo del legislatore e criticità operative, in Rivista delle società, 2022, 1271 ss.</w:t>
      </w:r>
    </w:p>
    <w:p w14:paraId="0E61BC1C" w14:textId="77777777" w:rsidR="0007044E" w:rsidRPr="00D73819" w:rsidRDefault="0007044E" w:rsidP="005572B8">
      <w:pPr>
        <w:jc w:val="both"/>
        <w:rPr>
          <w:rFonts w:ascii="Verdana" w:hAnsi="Verdana"/>
          <w:sz w:val="22"/>
          <w:szCs w:val="22"/>
        </w:rPr>
      </w:pPr>
      <w:r w:rsidRPr="00D73819">
        <w:rPr>
          <w:rFonts w:ascii="Verdana" w:hAnsi="Verdana"/>
          <w:sz w:val="22"/>
          <w:szCs w:val="22"/>
        </w:rPr>
        <w:t>Guiotto, A., Il valore riservato ai soci nel concordato in continuità aziendale, in www.dirittodellacrisi.it, 13 aprile 2023.</w:t>
      </w:r>
    </w:p>
    <w:p w14:paraId="114FF12D" w14:textId="77777777" w:rsidR="0007044E" w:rsidRPr="00D73819" w:rsidRDefault="0007044E" w:rsidP="005572B8">
      <w:pPr>
        <w:jc w:val="both"/>
        <w:rPr>
          <w:rFonts w:ascii="Verdana" w:hAnsi="Verdana"/>
          <w:sz w:val="22"/>
          <w:szCs w:val="22"/>
        </w:rPr>
      </w:pPr>
      <w:r w:rsidRPr="00D73819">
        <w:rPr>
          <w:rFonts w:ascii="Verdana" w:hAnsi="Verdana"/>
          <w:sz w:val="22"/>
          <w:szCs w:val="22"/>
        </w:rPr>
        <w:t>Inzitari, B., Le mobili frontiere della responsabilità patrimoniale: distribuzione del valore tra creditori e soci nel concordato in continuità secondo la negozialità concorsuale del codice della crisi, in www.dirittodellacrisi.it, 27 febbraio 2023, 35 ss.</w:t>
      </w:r>
    </w:p>
    <w:p w14:paraId="0E286C84" w14:textId="77777777" w:rsidR="0007044E" w:rsidRPr="00D73819" w:rsidRDefault="0007044E" w:rsidP="005572B8">
      <w:pPr>
        <w:jc w:val="both"/>
        <w:rPr>
          <w:rFonts w:ascii="Verdana" w:hAnsi="Verdana"/>
          <w:sz w:val="22"/>
          <w:szCs w:val="22"/>
        </w:rPr>
      </w:pPr>
      <w:r w:rsidRPr="00D73819">
        <w:rPr>
          <w:rFonts w:ascii="Verdana" w:hAnsi="Verdana"/>
          <w:sz w:val="22"/>
          <w:szCs w:val="22"/>
        </w:rPr>
        <w:t>Lener, R., Considerazioni intorno al plusvalore da continuità e alla “distribuzione” del patrimonio (tra regole di priorità assoluta e regole di priorità relativa), in www.dirittodellacrisi.it, 31 gennaio 2022.</w:t>
      </w:r>
    </w:p>
    <w:p w14:paraId="0B989E19" w14:textId="77777777" w:rsidR="0007044E" w:rsidRPr="00D73819" w:rsidRDefault="0007044E" w:rsidP="005572B8">
      <w:pPr>
        <w:jc w:val="both"/>
        <w:rPr>
          <w:rFonts w:ascii="Verdana" w:hAnsi="Verdana"/>
          <w:sz w:val="22"/>
          <w:szCs w:val="22"/>
        </w:rPr>
      </w:pPr>
      <w:r w:rsidRPr="00D73819">
        <w:rPr>
          <w:rFonts w:ascii="Verdana" w:hAnsi="Verdana"/>
          <w:sz w:val="22"/>
          <w:szCs w:val="22"/>
        </w:rPr>
        <w:t>Macagno, G.P., La distribuzione di valore tra regole di priorità assoluta e relativa. Il plusvalore da continuità, in dirittodellacrisi.it, 6 aprile 2022, 27-28.</w:t>
      </w:r>
    </w:p>
    <w:p w14:paraId="6A727376" w14:textId="77777777" w:rsidR="0007044E" w:rsidRPr="00D73819" w:rsidRDefault="0007044E" w:rsidP="005572B8">
      <w:pPr>
        <w:jc w:val="both"/>
        <w:rPr>
          <w:rFonts w:ascii="Verdana" w:hAnsi="Verdana"/>
          <w:sz w:val="22"/>
          <w:szCs w:val="22"/>
        </w:rPr>
      </w:pPr>
      <w:r w:rsidRPr="00D73819">
        <w:rPr>
          <w:rFonts w:ascii="Verdana" w:hAnsi="Verdana"/>
          <w:sz w:val="22"/>
          <w:szCs w:val="22"/>
        </w:rPr>
        <w:t>Maltoni, M., Spunti di riflessione sulla disciplina delle modifiche statutarie in caso di accesso della società ad uno strumento di regolazione della crisi e dell’insolvenza, in Rivista delle società, 2022, 1293 ss.</w:t>
      </w:r>
    </w:p>
    <w:p w14:paraId="3AF133CE" w14:textId="77777777" w:rsidR="0007044E" w:rsidRPr="00D73819" w:rsidRDefault="0007044E" w:rsidP="005572B8">
      <w:pPr>
        <w:jc w:val="both"/>
        <w:rPr>
          <w:rFonts w:ascii="Verdana" w:hAnsi="Verdana"/>
          <w:sz w:val="22"/>
          <w:szCs w:val="22"/>
        </w:rPr>
      </w:pPr>
      <w:r w:rsidRPr="00D73819">
        <w:rPr>
          <w:rFonts w:ascii="Verdana" w:hAnsi="Verdana"/>
          <w:sz w:val="22"/>
          <w:szCs w:val="22"/>
        </w:rPr>
        <w:t>Panzani, L., Le novità in materia di piano attestato, PRO e accordi di ristrutturazione, in Procedure concorsuali e crisi d’impresa, 2025, 47 ss.</w:t>
      </w:r>
    </w:p>
    <w:p w14:paraId="61AF2707" w14:textId="77777777" w:rsidR="0007044E" w:rsidRPr="00D73819" w:rsidRDefault="0007044E" w:rsidP="005572B8">
      <w:pPr>
        <w:jc w:val="both"/>
        <w:rPr>
          <w:rFonts w:ascii="Verdana" w:hAnsi="Verdana"/>
          <w:sz w:val="22"/>
          <w:szCs w:val="22"/>
        </w:rPr>
      </w:pPr>
      <w:r w:rsidRPr="00D73819">
        <w:rPr>
          <w:rFonts w:ascii="Verdana" w:hAnsi="Verdana"/>
          <w:sz w:val="22"/>
          <w:szCs w:val="22"/>
        </w:rPr>
        <w:t>Perrino, M., “Relative priority rule” e diritti dei soci nel concordato preventivo in continuità, in www.dirittodellacrisi.it, 12 dicembre 2022.</w:t>
      </w:r>
    </w:p>
    <w:p w14:paraId="518ED294" w14:textId="77777777" w:rsidR="0007044E" w:rsidRPr="00D73819" w:rsidRDefault="0007044E" w:rsidP="005572B8">
      <w:pPr>
        <w:jc w:val="both"/>
        <w:rPr>
          <w:rFonts w:ascii="Verdana" w:hAnsi="Verdana"/>
          <w:sz w:val="22"/>
          <w:szCs w:val="22"/>
        </w:rPr>
      </w:pPr>
      <w:r w:rsidRPr="00D73819">
        <w:rPr>
          <w:rFonts w:ascii="Verdana" w:hAnsi="Verdana"/>
          <w:sz w:val="22"/>
          <w:szCs w:val="22"/>
        </w:rPr>
        <w:t>Ranalli, R., Con il codice il risanamento è con i creditori e non vi è più spazio per quelli contro di essi, in www.dirittodellacrisi.it, 18 luglio 2023.</w:t>
      </w:r>
    </w:p>
    <w:p w14:paraId="5539F00F" w14:textId="77777777" w:rsidR="0007044E" w:rsidRPr="00D73819" w:rsidRDefault="0007044E" w:rsidP="005572B8">
      <w:pPr>
        <w:jc w:val="both"/>
        <w:rPr>
          <w:rFonts w:ascii="Verdana" w:hAnsi="Verdana"/>
          <w:sz w:val="22"/>
          <w:szCs w:val="22"/>
        </w:rPr>
      </w:pPr>
      <w:r w:rsidRPr="00D73819">
        <w:rPr>
          <w:rFonts w:ascii="Verdana" w:hAnsi="Verdana"/>
          <w:sz w:val="22"/>
          <w:szCs w:val="22"/>
        </w:rPr>
        <w:t>Rossi, A., I soci nella regolazione della crisi della società debitrice, in Ristrutturazioni aziendali, 22 settembre 2022.</w:t>
      </w:r>
    </w:p>
    <w:p w14:paraId="615339E1" w14:textId="7BD84811" w:rsidR="0007044E" w:rsidRPr="00D73819" w:rsidRDefault="0007044E" w:rsidP="005572B8">
      <w:pPr>
        <w:jc w:val="both"/>
        <w:rPr>
          <w:rFonts w:ascii="Verdana" w:hAnsi="Verdana"/>
          <w:sz w:val="22"/>
          <w:szCs w:val="22"/>
        </w:rPr>
      </w:pPr>
      <w:r w:rsidRPr="00D73819">
        <w:rPr>
          <w:rFonts w:ascii="Verdana" w:hAnsi="Verdana"/>
          <w:sz w:val="22"/>
          <w:szCs w:val="22"/>
        </w:rPr>
        <w:t xml:space="preserve">Rossi, A., Il concordato di Schrödinger (ovvero: del concordato preventivo con attribuzioni ai soci), in </w:t>
      </w:r>
      <w:r w:rsidR="00356BBB" w:rsidRPr="00D73819">
        <w:rPr>
          <w:rFonts w:ascii="Verdana" w:hAnsi="Verdana"/>
          <w:sz w:val="22"/>
          <w:szCs w:val="22"/>
        </w:rPr>
        <w:t>Procedure concorsuali e crisi d’impresa</w:t>
      </w:r>
      <w:r w:rsidRPr="00D73819">
        <w:rPr>
          <w:rFonts w:ascii="Verdana" w:hAnsi="Verdana"/>
          <w:sz w:val="22"/>
          <w:szCs w:val="22"/>
        </w:rPr>
        <w:t>, 2025, 293 ss.</w:t>
      </w:r>
    </w:p>
    <w:p w14:paraId="53F3B30E" w14:textId="77777777" w:rsidR="0007044E" w:rsidRPr="00D73819" w:rsidRDefault="0007044E" w:rsidP="005572B8">
      <w:pPr>
        <w:jc w:val="both"/>
        <w:rPr>
          <w:rFonts w:ascii="Verdana" w:hAnsi="Verdana"/>
          <w:sz w:val="22"/>
          <w:szCs w:val="22"/>
        </w:rPr>
      </w:pPr>
      <w:r w:rsidRPr="00D73819">
        <w:rPr>
          <w:rFonts w:ascii="Verdana" w:hAnsi="Verdana"/>
          <w:sz w:val="22"/>
          <w:szCs w:val="22"/>
        </w:rPr>
        <w:t>Spadaro, M., Il concordato delle società, in dirittodellacrisi.it, 13 ottobre 2022.</w:t>
      </w:r>
    </w:p>
    <w:p w14:paraId="6BE38E16" w14:textId="77777777" w:rsidR="0007044E" w:rsidRPr="00D73819" w:rsidRDefault="0007044E" w:rsidP="005572B8">
      <w:pPr>
        <w:jc w:val="both"/>
        <w:rPr>
          <w:rFonts w:ascii="Verdana" w:hAnsi="Verdana"/>
          <w:kern w:val="0"/>
          <w:sz w:val="22"/>
          <w:szCs w:val="22"/>
          <w:lang w:eastAsia="it-IT"/>
          <w14:ligatures w14:val="none"/>
        </w:rPr>
      </w:pPr>
      <w:r w:rsidRPr="00D73819">
        <w:rPr>
          <w:rFonts w:ascii="Verdana" w:hAnsi="Verdana"/>
          <w:sz w:val="22"/>
          <w:szCs w:val="22"/>
        </w:rPr>
        <w:t>Stanghellini, L., Il governo delle società fra codice civile e codice della crisi, in AGE, 2023, 19 ss.</w:t>
      </w:r>
    </w:p>
    <w:p w14:paraId="006645FC" w14:textId="14DF152A" w:rsidR="00D76FBD" w:rsidRPr="00D73819" w:rsidRDefault="0007044E" w:rsidP="00EA02F1">
      <w:pPr>
        <w:jc w:val="both"/>
        <w:rPr>
          <w:rFonts w:ascii="Verdana" w:hAnsi="Verdana"/>
          <w:sz w:val="22"/>
          <w:szCs w:val="22"/>
        </w:rPr>
      </w:pPr>
      <w:r w:rsidRPr="00D73819">
        <w:rPr>
          <w:rFonts w:ascii="Verdana" w:hAnsi="Verdana"/>
          <w:sz w:val="22"/>
          <w:szCs w:val="22"/>
        </w:rPr>
        <w:t>Stanghellini, L., Verso uno statuto dei diritti dei soci di società in crisi, in Riv. dir. soc., 2020, 295 ss.</w:t>
      </w:r>
    </w:p>
    <w:p w14:paraId="274A0212" w14:textId="77777777" w:rsidR="00362F98" w:rsidRDefault="00362F98">
      <w:pPr>
        <w:pStyle w:val="Titolo1"/>
        <w:rPr>
          <w:rFonts w:asciiTheme="minorHAnsi" w:hAnsiTheme="minorHAnsi" w:cstheme="minorBidi"/>
          <w:kern w:val="36"/>
          <w:sz w:val="48"/>
          <w:szCs w:val="48"/>
          <w:lang w:eastAsia="it-IT"/>
          <w14:ligatures w14:val="none"/>
        </w:rPr>
      </w:pPr>
      <w:r>
        <w:rPr>
          <w:rFonts w:asciiTheme="minorHAnsi" w:hAnsiTheme="minorHAnsi" w:cstheme="minorBidi"/>
        </w:rPr>
        <w:t>Slides</w:t>
      </w:r>
    </w:p>
    <w:p w14:paraId="0B5384EF" w14:textId="77777777" w:rsidR="00362F98" w:rsidRDefault="00362F98">
      <w:pPr>
        <w:pStyle w:val="Titolo2"/>
        <w:rPr>
          <w:rFonts w:asciiTheme="minorHAnsi" w:hAnsiTheme="minorHAnsi" w:cstheme="minorBidi"/>
          <w:kern w:val="0"/>
          <w:sz w:val="36"/>
          <w:szCs w:val="36"/>
          <w:lang w:eastAsia="it-IT"/>
          <w14:ligatures w14:val="none"/>
        </w:rPr>
      </w:pPr>
      <w:r>
        <w:rPr>
          <w:rFonts w:asciiTheme="minorHAnsi" w:hAnsiTheme="minorHAnsi" w:cstheme="minorBidi"/>
        </w:rPr>
        <w:t>Slide 1 — Titolo</w:t>
      </w:r>
    </w:p>
    <w:p w14:paraId="71E197AB" w14:textId="77777777" w:rsidR="00362F98" w:rsidRDefault="00362F98">
      <w:pPr>
        <w:rPr>
          <w:kern w:val="0"/>
          <w:lang w:eastAsia="it-IT"/>
          <w14:ligatures w14:val="none"/>
        </w:rPr>
      </w:pPr>
      <w:r>
        <w:rPr>
          <w:b/>
          <w:bCs/>
        </w:rPr>
        <w:t>Regole distributive e concordato preventivo con attribuzioni ai soci</w:t>
      </w:r>
      <w:r>
        <w:br/>
        <w:t>Criteri di distribuzione con uno sguardo al riparto nelle procedure concorsuali</w:t>
      </w:r>
      <w:r>
        <w:br/>
        <w:t>Bari, 26-27 giugno 2026</w:t>
      </w:r>
      <w:r>
        <w:br/>
        <w:t>Gian Paolo Macagno — Consigliere presso la Corte di cassazione</w:t>
      </w:r>
    </w:p>
    <w:p w14:paraId="3307EBF7" w14:textId="77777777" w:rsidR="00362F98" w:rsidRPr="00C814F1" w:rsidRDefault="00362F98">
      <w:pPr>
        <w:pStyle w:val="Titolo2"/>
        <w:rPr>
          <w:rFonts w:asciiTheme="minorHAnsi" w:hAnsiTheme="minorHAnsi" w:cstheme="minorBidi"/>
          <w:kern w:val="0"/>
          <w:sz w:val="36"/>
          <w:szCs w:val="36"/>
          <w:lang w:eastAsia="it-IT"/>
          <w14:ligatures w14:val="none"/>
        </w:rPr>
      </w:pPr>
      <w:r w:rsidRPr="00C814F1">
        <w:rPr>
          <w:rFonts w:asciiTheme="minorHAnsi" w:hAnsiTheme="minorHAnsi" w:cstheme="minorBidi"/>
        </w:rPr>
        <w:t>Slide 2 — Domanda di partenza</w:t>
      </w:r>
    </w:p>
    <w:p w14:paraId="12F5E629" w14:textId="77777777" w:rsidR="00362F98" w:rsidRPr="00C814F1" w:rsidRDefault="00362F98" w:rsidP="00362F98">
      <w:pPr>
        <w:pStyle w:val="Paragrafoelenco"/>
        <w:numPr>
          <w:ilvl w:val="0"/>
          <w:numId w:val="5"/>
        </w:numPr>
        <w:rPr>
          <w:kern w:val="0"/>
          <w:sz w:val="20"/>
          <w:szCs w:val="20"/>
          <w:lang w:eastAsia="it-IT"/>
          <w14:ligatures w14:val="none"/>
        </w:rPr>
      </w:pPr>
      <w:r w:rsidRPr="00C814F1">
        <w:rPr>
          <w:sz w:val="20"/>
          <w:szCs w:val="20"/>
        </w:rPr>
        <w:t>Che cosa resta del diritto societario tradizionale quando la società entra in crisi?</w:t>
      </w:r>
    </w:p>
    <w:p w14:paraId="7E8B682A" w14:textId="77777777" w:rsidR="00362F98" w:rsidRPr="00C814F1" w:rsidRDefault="00362F98" w:rsidP="00362F98">
      <w:pPr>
        <w:pStyle w:val="Paragrafoelenco"/>
        <w:numPr>
          <w:ilvl w:val="0"/>
          <w:numId w:val="5"/>
        </w:numPr>
        <w:rPr>
          <w:sz w:val="20"/>
          <w:szCs w:val="20"/>
        </w:rPr>
      </w:pPr>
      <w:r w:rsidRPr="00C814F1">
        <w:rPr>
          <w:sz w:val="20"/>
          <w:szCs w:val="20"/>
        </w:rPr>
        <w:t>La crisi incide sui poteri dei soci.</w:t>
      </w:r>
    </w:p>
    <w:p w14:paraId="45281914" w14:textId="77777777" w:rsidR="00362F98" w:rsidRPr="00C814F1" w:rsidRDefault="00362F98" w:rsidP="00362F98">
      <w:pPr>
        <w:pStyle w:val="Paragrafoelenco"/>
        <w:numPr>
          <w:ilvl w:val="0"/>
          <w:numId w:val="5"/>
        </w:numPr>
        <w:rPr>
          <w:sz w:val="20"/>
          <w:szCs w:val="20"/>
        </w:rPr>
      </w:pPr>
      <w:r w:rsidRPr="00C814F1">
        <w:rPr>
          <w:sz w:val="20"/>
          <w:szCs w:val="20"/>
        </w:rPr>
        <w:t>La continuità aziendale assume valore primario.</w:t>
      </w:r>
    </w:p>
    <w:p w14:paraId="2E56FDD7" w14:textId="77777777" w:rsidR="00362F98" w:rsidRPr="00C814F1" w:rsidRDefault="00362F98" w:rsidP="00362F98">
      <w:pPr>
        <w:pStyle w:val="Paragrafoelenco"/>
        <w:numPr>
          <w:ilvl w:val="0"/>
          <w:numId w:val="5"/>
        </w:numPr>
        <w:rPr>
          <w:sz w:val="20"/>
          <w:szCs w:val="20"/>
        </w:rPr>
      </w:pPr>
      <w:r w:rsidRPr="00C814F1">
        <w:rPr>
          <w:sz w:val="20"/>
          <w:szCs w:val="20"/>
        </w:rPr>
        <w:t>Statuto, capitale e partecipazioni diventano leve della ristrutturazione.</w:t>
      </w:r>
    </w:p>
    <w:p w14:paraId="5A54F852" w14:textId="77777777" w:rsidR="00362F98" w:rsidRPr="00C814F1" w:rsidRDefault="00362F98" w:rsidP="00362F98">
      <w:pPr>
        <w:pStyle w:val="Paragrafoelenco"/>
        <w:numPr>
          <w:ilvl w:val="0"/>
          <w:numId w:val="5"/>
        </w:numPr>
        <w:rPr>
          <w:sz w:val="20"/>
          <w:szCs w:val="20"/>
        </w:rPr>
      </w:pPr>
      <w:r w:rsidRPr="00C814F1">
        <w:rPr>
          <w:sz w:val="20"/>
          <w:szCs w:val="20"/>
        </w:rPr>
        <w:t>Idea guida: dalla neutralità organizzativa alla funzionalizzazione dell’organizzazione societaria al risanamento.</w:t>
      </w:r>
    </w:p>
    <w:p w14:paraId="60CF4AD9" w14:textId="77777777" w:rsidR="00362F98" w:rsidRPr="00C814F1" w:rsidRDefault="00362F98">
      <w:pPr>
        <w:pStyle w:val="Titolo2"/>
        <w:rPr>
          <w:rFonts w:asciiTheme="minorHAnsi" w:hAnsiTheme="minorHAnsi" w:cstheme="minorBidi"/>
          <w:kern w:val="0"/>
          <w:sz w:val="36"/>
          <w:szCs w:val="36"/>
          <w:lang w:eastAsia="it-IT"/>
          <w14:ligatures w14:val="none"/>
        </w:rPr>
      </w:pPr>
      <w:r w:rsidRPr="00C814F1">
        <w:rPr>
          <w:rFonts w:asciiTheme="minorHAnsi" w:hAnsiTheme="minorHAnsi" w:cstheme="minorBidi"/>
        </w:rPr>
        <w:lastRenderedPageBreak/>
        <w:t>Slide 3 — Evoluzione normativa</w:t>
      </w:r>
    </w:p>
    <w:p w14:paraId="7D4643DD" w14:textId="77777777" w:rsidR="00362F98" w:rsidRPr="00C814F1" w:rsidRDefault="00362F98" w:rsidP="00362F98">
      <w:pPr>
        <w:pStyle w:val="Paragrafoelenco"/>
        <w:numPr>
          <w:ilvl w:val="0"/>
          <w:numId w:val="6"/>
        </w:numPr>
        <w:rPr>
          <w:kern w:val="0"/>
          <w:sz w:val="20"/>
          <w:szCs w:val="20"/>
          <w:lang w:eastAsia="it-IT"/>
          <w14:ligatures w14:val="none"/>
        </w:rPr>
      </w:pPr>
      <w:r w:rsidRPr="00C814F1">
        <w:rPr>
          <w:sz w:val="20"/>
          <w:szCs w:val="20"/>
        </w:rPr>
        <w:t>Riforma 2005: operazioni straordinarie e strumenti finanziari nel concordato.</w:t>
      </w:r>
    </w:p>
    <w:p w14:paraId="0BA66D79" w14:textId="77777777" w:rsidR="00362F98" w:rsidRPr="00C814F1" w:rsidRDefault="00362F98" w:rsidP="00362F98">
      <w:pPr>
        <w:pStyle w:val="Paragrafoelenco"/>
        <w:numPr>
          <w:ilvl w:val="0"/>
          <w:numId w:val="6"/>
        </w:numPr>
        <w:rPr>
          <w:sz w:val="20"/>
          <w:szCs w:val="20"/>
        </w:rPr>
      </w:pPr>
      <w:r w:rsidRPr="00C814F1">
        <w:rPr>
          <w:sz w:val="20"/>
          <w:szCs w:val="20"/>
        </w:rPr>
        <w:t>D.Lgs. 83/2022: introduzione degli artt. 120-bis ss. CCII.</w:t>
      </w:r>
    </w:p>
    <w:p w14:paraId="0AC27BEC" w14:textId="77777777" w:rsidR="00362F98" w:rsidRPr="00C814F1" w:rsidRDefault="00362F98" w:rsidP="00362F98">
      <w:pPr>
        <w:pStyle w:val="Paragrafoelenco"/>
        <w:numPr>
          <w:ilvl w:val="0"/>
          <w:numId w:val="6"/>
        </w:numPr>
        <w:rPr>
          <w:sz w:val="20"/>
          <w:szCs w:val="20"/>
        </w:rPr>
      </w:pPr>
      <w:r w:rsidRPr="00C814F1">
        <w:rPr>
          <w:sz w:val="20"/>
          <w:szCs w:val="20"/>
        </w:rPr>
        <w:t>D.Lgs. 136/2024, Correttivo-ter: disciplina nel nuovo Capo III-bis.</w:t>
      </w:r>
    </w:p>
    <w:p w14:paraId="6218D2B7" w14:textId="77777777" w:rsidR="00362F98" w:rsidRPr="00C814F1" w:rsidRDefault="00362F98" w:rsidP="00362F98">
      <w:pPr>
        <w:pStyle w:val="Paragrafoelenco"/>
        <w:numPr>
          <w:ilvl w:val="0"/>
          <w:numId w:val="6"/>
        </w:numPr>
        <w:rPr>
          <w:sz w:val="20"/>
          <w:szCs w:val="20"/>
        </w:rPr>
      </w:pPr>
      <w:r w:rsidRPr="00C814F1">
        <w:rPr>
          <w:sz w:val="20"/>
          <w:szCs w:val="20"/>
        </w:rPr>
        <w:t>La società in crisi assume uno statuto speciale.</w:t>
      </w:r>
    </w:p>
    <w:p w14:paraId="6D58A958" w14:textId="77777777" w:rsidR="00362F98" w:rsidRPr="00C814F1" w:rsidRDefault="00362F98" w:rsidP="00362F98">
      <w:pPr>
        <w:pStyle w:val="Paragrafoelenco"/>
        <w:numPr>
          <w:ilvl w:val="0"/>
          <w:numId w:val="6"/>
        </w:numPr>
        <w:rPr>
          <w:sz w:val="20"/>
          <w:szCs w:val="20"/>
        </w:rPr>
      </w:pPr>
      <w:r w:rsidRPr="00C814F1">
        <w:rPr>
          <w:sz w:val="20"/>
          <w:szCs w:val="20"/>
        </w:rPr>
        <w:t>La partecipazione sociale assume una dimensione sempre più finanziaria.</w:t>
      </w:r>
    </w:p>
    <w:p w14:paraId="0CFB56F6" w14:textId="77777777" w:rsidR="00362F98" w:rsidRPr="00C814F1" w:rsidRDefault="00362F98">
      <w:pPr>
        <w:pStyle w:val="Titolo2"/>
        <w:rPr>
          <w:rFonts w:asciiTheme="minorHAnsi" w:hAnsiTheme="minorHAnsi" w:cstheme="minorBidi"/>
          <w:kern w:val="0"/>
          <w:sz w:val="36"/>
          <w:szCs w:val="36"/>
          <w:lang w:eastAsia="it-IT"/>
          <w14:ligatures w14:val="none"/>
        </w:rPr>
      </w:pPr>
      <w:r w:rsidRPr="00C814F1">
        <w:rPr>
          <w:rFonts w:asciiTheme="minorHAnsi" w:hAnsiTheme="minorHAnsi" w:cstheme="minorBidi"/>
        </w:rPr>
        <w:t>Slide 4 — Art. 120-bis CCII</w:t>
      </w:r>
    </w:p>
    <w:p w14:paraId="11B6C05F" w14:textId="77777777" w:rsidR="00362F98" w:rsidRPr="00C814F1" w:rsidRDefault="00362F98" w:rsidP="00362F98">
      <w:pPr>
        <w:pStyle w:val="Paragrafoelenco"/>
        <w:numPr>
          <w:ilvl w:val="0"/>
          <w:numId w:val="7"/>
        </w:numPr>
        <w:rPr>
          <w:kern w:val="0"/>
          <w:sz w:val="20"/>
          <w:szCs w:val="20"/>
          <w:lang w:eastAsia="it-IT"/>
          <w14:ligatures w14:val="none"/>
        </w:rPr>
      </w:pPr>
      <w:r w:rsidRPr="00C814F1">
        <w:rPr>
          <w:sz w:val="20"/>
          <w:szCs w:val="20"/>
        </w:rPr>
        <w:t>Competenza esclusiva di amministratori e liquidatori.</w:t>
      </w:r>
    </w:p>
    <w:p w14:paraId="2AFEAFFD" w14:textId="77777777" w:rsidR="00362F98" w:rsidRPr="00C814F1" w:rsidRDefault="00362F98" w:rsidP="00362F98">
      <w:pPr>
        <w:pStyle w:val="Paragrafoelenco"/>
        <w:numPr>
          <w:ilvl w:val="0"/>
          <w:numId w:val="7"/>
        </w:numPr>
        <w:rPr>
          <w:sz w:val="20"/>
          <w:szCs w:val="20"/>
        </w:rPr>
      </w:pPr>
      <w:r w:rsidRPr="00C814F1">
        <w:rPr>
          <w:sz w:val="20"/>
          <w:szCs w:val="20"/>
        </w:rPr>
        <w:t>Accesso allo strumento deciso dall’organo gestorio.</w:t>
      </w:r>
    </w:p>
    <w:p w14:paraId="07B24E96" w14:textId="77777777" w:rsidR="00362F98" w:rsidRPr="00C814F1" w:rsidRDefault="00362F98" w:rsidP="00362F98">
      <w:pPr>
        <w:pStyle w:val="Paragrafoelenco"/>
        <w:numPr>
          <w:ilvl w:val="0"/>
          <w:numId w:val="7"/>
        </w:numPr>
        <w:rPr>
          <w:sz w:val="20"/>
          <w:szCs w:val="20"/>
        </w:rPr>
      </w:pPr>
      <w:r w:rsidRPr="00C814F1">
        <w:rPr>
          <w:sz w:val="20"/>
          <w:szCs w:val="20"/>
        </w:rPr>
        <w:t>Amministratori e liquidatori determinano proposta, piano e condizioni.</w:t>
      </w:r>
    </w:p>
    <w:p w14:paraId="5E7D8384" w14:textId="77777777" w:rsidR="00362F98" w:rsidRPr="00C814F1" w:rsidRDefault="00362F98" w:rsidP="00362F98">
      <w:pPr>
        <w:pStyle w:val="Paragrafoelenco"/>
        <w:numPr>
          <w:ilvl w:val="0"/>
          <w:numId w:val="7"/>
        </w:numPr>
        <w:rPr>
          <w:sz w:val="20"/>
          <w:szCs w:val="20"/>
        </w:rPr>
      </w:pPr>
      <w:r w:rsidRPr="00C814F1">
        <w:rPr>
          <w:sz w:val="20"/>
          <w:szCs w:val="20"/>
        </w:rPr>
        <w:t>Il piano può essere modificato sino all’omologazione.</w:t>
      </w:r>
    </w:p>
    <w:p w14:paraId="102B538B" w14:textId="77777777" w:rsidR="00362F98" w:rsidRPr="00C814F1" w:rsidRDefault="00362F98" w:rsidP="00362F98">
      <w:pPr>
        <w:pStyle w:val="Paragrafoelenco"/>
        <w:numPr>
          <w:ilvl w:val="0"/>
          <w:numId w:val="7"/>
        </w:numPr>
        <w:rPr>
          <w:sz w:val="20"/>
          <w:szCs w:val="20"/>
        </w:rPr>
      </w:pPr>
      <w:r w:rsidRPr="00C814F1">
        <w:rPr>
          <w:sz w:val="20"/>
          <w:szCs w:val="20"/>
        </w:rPr>
        <w:t>L’assemblea dei soci arretra dalla decisione sulla crisi.</w:t>
      </w:r>
    </w:p>
    <w:p w14:paraId="3A422CA0" w14:textId="77777777" w:rsidR="00362F98" w:rsidRPr="00C814F1" w:rsidRDefault="00362F98">
      <w:pPr>
        <w:pStyle w:val="Titolo2"/>
        <w:rPr>
          <w:rFonts w:asciiTheme="minorHAnsi" w:hAnsiTheme="minorHAnsi" w:cstheme="minorBidi"/>
          <w:kern w:val="0"/>
          <w:sz w:val="36"/>
          <w:szCs w:val="36"/>
          <w:lang w:eastAsia="it-IT"/>
          <w14:ligatures w14:val="none"/>
        </w:rPr>
      </w:pPr>
      <w:r w:rsidRPr="00C814F1">
        <w:rPr>
          <w:rFonts w:asciiTheme="minorHAnsi" w:hAnsiTheme="minorHAnsi" w:cstheme="minorBidi"/>
        </w:rPr>
        <w:t>Slide 5 — La posizione dei soci</w:t>
      </w:r>
    </w:p>
    <w:p w14:paraId="10C0A9B4" w14:textId="77777777" w:rsidR="00362F98" w:rsidRPr="00C814F1" w:rsidRDefault="00362F98" w:rsidP="00362F98">
      <w:pPr>
        <w:pStyle w:val="Paragrafoelenco"/>
        <w:numPr>
          <w:ilvl w:val="0"/>
          <w:numId w:val="8"/>
        </w:numPr>
        <w:rPr>
          <w:kern w:val="0"/>
          <w:sz w:val="20"/>
          <w:szCs w:val="20"/>
          <w:lang w:eastAsia="it-IT"/>
          <w14:ligatures w14:val="none"/>
        </w:rPr>
      </w:pPr>
      <w:r w:rsidRPr="00C814F1">
        <w:rPr>
          <w:sz w:val="20"/>
          <w:szCs w:val="20"/>
        </w:rPr>
        <w:t>I soci arretrano, ma non scompaiono.</w:t>
      </w:r>
    </w:p>
    <w:p w14:paraId="4A3B128A" w14:textId="77777777" w:rsidR="00362F98" w:rsidRPr="00C814F1" w:rsidRDefault="00362F98" w:rsidP="00362F98">
      <w:pPr>
        <w:pStyle w:val="Paragrafoelenco"/>
        <w:numPr>
          <w:ilvl w:val="0"/>
          <w:numId w:val="8"/>
        </w:numPr>
        <w:rPr>
          <w:sz w:val="20"/>
          <w:szCs w:val="20"/>
        </w:rPr>
      </w:pPr>
      <w:r w:rsidRPr="00C814F1">
        <w:rPr>
          <w:sz w:val="20"/>
          <w:szCs w:val="20"/>
        </w:rPr>
        <w:t>Sono informati dopo la decisione di accesso.</w:t>
      </w:r>
    </w:p>
    <w:p w14:paraId="57432228" w14:textId="77777777" w:rsidR="00362F98" w:rsidRPr="00C814F1" w:rsidRDefault="00362F98" w:rsidP="00362F98">
      <w:pPr>
        <w:pStyle w:val="Paragrafoelenco"/>
        <w:numPr>
          <w:ilvl w:val="0"/>
          <w:numId w:val="8"/>
        </w:numPr>
        <w:rPr>
          <w:sz w:val="20"/>
          <w:szCs w:val="20"/>
        </w:rPr>
      </w:pPr>
      <w:r w:rsidRPr="00C814F1">
        <w:rPr>
          <w:sz w:val="20"/>
          <w:szCs w:val="20"/>
        </w:rPr>
        <w:t>Possono presentare proposte concorrenti se rappresentano almeno il 10% del capitale.</w:t>
      </w:r>
    </w:p>
    <w:p w14:paraId="45823332" w14:textId="77777777" w:rsidR="00362F98" w:rsidRPr="00C814F1" w:rsidRDefault="00362F98" w:rsidP="00362F98">
      <w:pPr>
        <w:pStyle w:val="Paragrafoelenco"/>
        <w:numPr>
          <w:ilvl w:val="0"/>
          <w:numId w:val="8"/>
        </w:numPr>
        <w:rPr>
          <w:sz w:val="20"/>
          <w:szCs w:val="20"/>
        </w:rPr>
      </w:pPr>
      <w:r w:rsidRPr="00C814F1">
        <w:rPr>
          <w:sz w:val="20"/>
          <w:szCs w:val="20"/>
        </w:rPr>
        <w:t>Possono essere classati ex art. 120-ter CCII.</w:t>
      </w:r>
    </w:p>
    <w:p w14:paraId="2EF2D6C3" w14:textId="77777777" w:rsidR="00362F98" w:rsidRPr="00C814F1" w:rsidRDefault="00362F98" w:rsidP="00362F98">
      <w:pPr>
        <w:pStyle w:val="Paragrafoelenco"/>
        <w:numPr>
          <w:ilvl w:val="0"/>
          <w:numId w:val="8"/>
        </w:numPr>
        <w:rPr>
          <w:sz w:val="20"/>
          <w:szCs w:val="20"/>
        </w:rPr>
      </w:pPr>
      <w:r w:rsidRPr="00C814F1">
        <w:rPr>
          <w:sz w:val="20"/>
          <w:szCs w:val="20"/>
        </w:rPr>
        <w:t>La partecipazione sociale diventa posizione finanziaria esposta alla crisi.</w:t>
      </w:r>
    </w:p>
    <w:p w14:paraId="3D2133E7" w14:textId="77777777" w:rsidR="00362F98" w:rsidRPr="00C814F1" w:rsidRDefault="00362F98">
      <w:pPr>
        <w:pStyle w:val="Titolo2"/>
        <w:rPr>
          <w:rFonts w:asciiTheme="minorHAnsi" w:hAnsiTheme="minorHAnsi" w:cstheme="minorBidi"/>
          <w:kern w:val="0"/>
          <w:sz w:val="36"/>
          <w:szCs w:val="36"/>
          <w:lang w:eastAsia="it-IT"/>
          <w14:ligatures w14:val="none"/>
        </w:rPr>
      </w:pPr>
      <w:r w:rsidRPr="00C814F1">
        <w:rPr>
          <w:rFonts w:asciiTheme="minorHAnsi" w:hAnsiTheme="minorHAnsi" w:cstheme="minorBidi"/>
        </w:rPr>
        <w:t>Slide 6 — Dal rimedio reale al rimedio risarcitorio</w:t>
      </w:r>
    </w:p>
    <w:p w14:paraId="7507523C" w14:textId="77777777" w:rsidR="00362F98" w:rsidRPr="00C814F1" w:rsidRDefault="00362F98" w:rsidP="00362F98">
      <w:pPr>
        <w:pStyle w:val="Paragrafoelenco"/>
        <w:numPr>
          <w:ilvl w:val="0"/>
          <w:numId w:val="9"/>
        </w:numPr>
        <w:rPr>
          <w:kern w:val="0"/>
          <w:sz w:val="20"/>
          <w:szCs w:val="20"/>
          <w:lang w:eastAsia="it-IT"/>
          <w14:ligatures w14:val="none"/>
        </w:rPr>
      </w:pPr>
      <w:r w:rsidRPr="00C814F1">
        <w:rPr>
          <w:sz w:val="20"/>
          <w:szCs w:val="20"/>
        </w:rPr>
        <w:t>Nel diritto societario comune: impugnazioni, invalidità, recesso.</w:t>
      </w:r>
    </w:p>
    <w:p w14:paraId="34EACFA5" w14:textId="77777777" w:rsidR="00362F98" w:rsidRPr="00C814F1" w:rsidRDefault="00362F98" w:rsidP="00362F98">
      <w:pPr>
        <w:pStyle w:val="Paragrafoelenco"/>
        <w:numPr>
          <w:ilvl w:val="0"/>
          <w:numId w:val="9"/>
        </w:numPr>
        <w:rPr>
          <w:sz w:val="20"/>
          <w:szCs w:val="20"/>
        </w:rPr>
      </w:pPr>
      <w:r w:rsidRPr="00C814F1">
        <w:rPr>
          <w:sz w:val="20"/>
          <w:szCs w:val="20"/>
        </w:rPr>
        <w:t>Nella crisi prevale la stabilità del piano omologato.</w:t>
      </w:r>
    </w:p>
    <w:p w14:paraId="2F2CAC8F" w14:textId="77777777" w:rsidR="00362F98" w:rsidRPr="00C814F1" w:rsidRDefault="00362F98" w:rsidP="00362F98">
      <w:pPr>
        <w:pStyle w:val="Paragrafoelenco"/>
        <w:numPr>
          <w:ilvl w:val="0"/>
          <w:numId w:val="9"/>
        </w:numPr>
        <w:rPr>
          <w:sz w:val="20"/>
          <w:szCs w:val="20"/>
        </w:rPr>
      </w:pPr>
      <w:r w:rsidRPr="00C814F1">
        <w:rPr>
          <w:sz w:val="20"/>
          <w:szCs w:val="20"/>
        </w:rPr>
        <w:t>Le iniziative individuali non devono paralizzare la ristrutturazione.</w:t>
      </w:r>
    </w:p>
    <w:p w14:paraId="5FE4A597" w14:textId="77777777" w:rsidR="00362F98" w:rsidRPr="00C814F1" w:rsidRDefault="00362F98" w:rsidP="00362F98">
      <w:pPr>
        <w:pStyle w:val="Paragrafoelenco"/>
        <w:numPr>
          <w:ilvl w:val="0"/>
          <w:numId w:val="9"/>
        </w:numPr>
        <w:rPr>
          <w:sz w:val="20"/>
          <w:szCs w:val="20"/>
        </w:rPr>
      </w:pPr>
      <w:r w:rsidRPr="00C814F1">
        <w:rPr>
          <w:sz w:val="20"/>
          <w:szCs w:val="20"/>
        </w:rPr>
        <w:t>La tutela del socio tende a spostarsi sul piano risarcitorio.</w:t>
      </w:r>
    </w:p>
    <w:p w14:paraId="61B1822C" w14:textId="77777777" w:rsidR="00362F98" w:rsidRPr="00C814F1" w:rsidRDefault="00362F98" w:rsidP="00362F98">
      <w:pPr>
        <w:pStyle w:val="Paragrafoelenco"/>
        <w:numPr>
          <w:ilvl w:val="0"/>
          <w:numId w:val="9"/>
        </w:numPr>
        <w:rPr>
          <w:sz w:val="20"/>
          <w:szCs w:val="20"/>
        </w:rPr>
      </w:pPr>
      <w:r w:rsidRPr="00C814F1">
        <w:rPr>
          <w:sz w:val="20"/>
          <w:szCs w:val="20"/>
        </w:rPr>
        <w:t>La tutela non è eliminata, ma rimodellata.</w:t>
      </w:r>
    </w:p>
    <w:p w14:paraId="322D2266" w14:textId="77777777" w:rsidR="00362F98" w:rsidRPr="00C814F1" w:rsidRDefault="00362F98">
      <w:pPr>
        <w:pStyle w:val="Titolo2"/>
        <w:rPr>
          <w:rFonts w:asciiTheme="minorHAnsi" w:hAnsiTheme="minorHAnsi" w:cstheme="minorBidi"/>
          <w:kern w:val="0"/>
          <w:sz w:val="36"/>
          <w:szCs w:val="36"/>
          <w:lang w:eastAsia="it-IT"/>
          <w14:ligatures w14:val="none"/>
        </w:rPr>
      </w:pPr>
      <w:r w:rsidRPr="00C814F1">
        <w:rPr>
          <w:rFonts w:asciiTheme="minorHAnsi" w:hAnsiTheme="minorHAnsi" w:cstheme="minorBidi"/>
        </w:rPr>
        <w:t>Slide 7 — Art. 120-quater CCII</w:t>
      </w:r>
    </w:p>
    <w:p w14:paraId="4E2B51B3" w14:textId="77777777" w:rsidR="00362F98" w:rsidRPr="00C814F1" w:rsidRDefault="00362F98" w:rsidP="00362F98">
      <w:pPr>
        <w:pStyle w:val="Paragrafoelenco"/>
        <w:numPr>
          <w:ilvl w:val="0"/>
          <w:numId w:val="10"/>
        </w:numPr>
        <w:rPr>
          <w:kern w:val="0"/>
          <w:sz w:val="20"/>
          <w:szCs w:val="20"/>
          <w:lang w:eastAsia="it-IT"/>
          <w14:ligatures w14:val="none"/>
        </w:rPr>
      </w:pPr>
      <w:r w:rsidRPr="00C814F1">
        <w:rPr>
          <w:sz w:val="20"/>
          <w:szCs w:val="20"/>
        </w:rPr>
        <w:t>Omologazione del concordato con attribuzioni ai soci.</w:t>
      </w:r>
    </w:p>
    <w:p w14:paraId="6EEA13F2" w14:textId="77777777" w:rsidR="00362F98" w:rsidRPr="00C814F1" w:rsidRDefault="00362F98" w:rsidP="00362F98">
      <w:pPr>
        <w:pStyle w:val="Paragrafoelenco"/>
        <w:numPr>
          <w:ilvl w:val="0"/>
          <w:numId w:val="10"/>
        </w:numPr>
        <w:rPr>
          <w:sz w:val="20"/>
          <w:szCs w:val="20"/>
        </w:rPr>
      </w:pPr>
      <w:r w:rsidRPr="00C814F1">
        <w:rPr>
          <w:sz w:val="20"/>
          <w:szCs w:val="20"/>
        </w:rPr>
        <w:t>Norma ispirata alla Direttiva UE 2019/1023.</w:t>
      </w:r>
    </w:p>
    <w:p w14:paraId="250C158A" w14:textId="77777777" w:rsidR="00362F98" w:rsidRPr="00C814F1" w:rsidRDefault="00362F98" w:rsidP="00362F98">
      <w:pPr>
        <w:pStyle w:val="Paragrafoelenco"/>
        <w:numPr>
          <w:ilvl w:val="0"/>
          <w:numId w:val="10"/>
        </w:numPr>
        <w:rPr>
          <w:sz w:val="20"/>
          <w:szCs w:val="20"/>
        </w:rPr>
      </w:pPr>
      <w:r w:rsidRPr="00C814F1">
        <w:rPr>
          <w:sz w:val="20"/>
          <w:szCs w:val="20"/>
        </w:rPr>
        <w:t>Mira a disciplinare il rapporto tra creditori e soci nella distribuzione del valore.</w:t>
      </w:r>
    </w:p>
    <w:p w14:paraId="5BA314E4" w14:textId="77777777" w:rsidR="00362F98" w:rsidRPr="00C814F1" w:rsidRDefault="00362F98" w:rsidP="00362F98">
      <w:pPr>
        <w:pStyle w:val="Paragrafoelenco"/>
        <w:numPr>
          <w:ilvl w:val="0"/>
          <w:numId w:val="10"/>
        </w:numPr>
        <w:rPr>
          <w:sz w:val="20"/>
          <w:szCs w:val="20"/>
        </w:rPr>
      </w:pPr>
      <w:r w:rsidRPr="00C814F1">
        <w:rPr>
          <w:sz w:val="20"/>
          <w:szCs w:val="20"/>
        </w:rPr>
        <w:t>Opera in presenza di attribuzioni ai soci e dissenso di classi di creditori.</w:t>
      </w:r>
    </w:p>
    <w:p w14:paraId="1A654CCA" w14:textId="77777777" w:rsidR="00362F98" w:rsidRPr="00C814F1" w:rsidRDefault="00362F98" w:rsidP="00362F98">
      <w:pPr>
        <w:pStyle w:val="Paragrafoelenco"/>
        <w:numPr>
          <w:ilvl w:val="0"/>
          <w:numId w:val="10"/>
        </w:numPr>
        <w:rPr>
          <w:sz w:val="20"/>
          <w:szCs w:val="20"/>
        </w:rPr>
      </w:pPr>
      <w:r w:rsidRPr="00C814F1">
        <w:rPr>
          <w:sz w:val="20"/>
          <w:szCs w:val="20"/>
        </w:rPr>
        <w:t>È norma di applicazione incerta, complessa e poco efficiente.</w:t>
      </w:r>
    </w:p>
    <w:p w14:paraId="7B5A5F53" w14:textId="77777777" w:rsidR="00362F98" w:rsidRPr="00C814F1" w:rsidRDefault="00362F98">
      <w:pPr>
        <w:pStyle w:val="Titolo2"/>
        <w:rPr>
          <w:rFonts w:asciiTheme="minorHAnsi" w:hAnsiTheme="minorHAnsi" w:cstheme="minorBidi"/>
          <w:kern w:val="0"/>
          <w:sz w:val="36"/>
          <w:szCs w:val="36"/>
          <w:lang w:eastAsia="it-IT"/>
          <w14:ligatures w14:val="none"/>
        </w:rPr>
      </w:pPr>
      <w:r w:rsidRPr="00C814F1">
        <w:rPr>
          <w:rFonts w:asciiTheme="minorHAnsi" w:hAnsiTheme="minorHAnsi" w:cstheme="minorBidi"/>
        </w:rPr>
        <w:t>Slide 8 — Testo normativo essenziale: comma 1</w:t>
      </w:r>
    </w:p>
    <w:p w14:paraId="13F41AE3" w14:textId="77777777" w:rsidR="00362F98" w:rsidRPr="00C814F1" w:rsidRDefault="00362F98">
      <w:pPr>
        <w:rPr>
          <w:kern w:val="0"/>
          <w:lang w:eastAsia="it-IT"/>
          <w14:ligatures w14:val="none"/>
        </w:rPr>
      </w:pPr>
      <w:r w:rsidRPr="00C814F1">
        <w:rPr>
          <w:i/>
          <w:iCs/>
        </w:rPr>
        <w:t>Se il piano prevede che il valore risultante dalla ristrutturazione sia riservato anche ai soci anteriori alla domanda, il concordato, in caso di dissenso di una o più classi di creditori, può essere omologato solo se il trattamento delle classi dissenzienti rispetta il confronto imposto dalla norma.</w:t>
      </w:r>
    </w:p>
    <w:p w14:paraId="48774D32" w14:textId="77777777" w:rsidR="00362F98" w:rsidRPr="00C814F1" w:rsidRDefault="00362F98" w:rsidP="00362F98">
      <w:pPr>
        <w:pStyle w:val="Paragrafoelenco"/>
        <w:numPr>
          <w:ilvl w:val="0"/>
          <w:numId w:val="11"/>
        </w:numPr>
        <w:rPr>
          <w:kern w:val="0"/>
          <w:sz w:val="20"/>
          <w:szCs w:val="20"/>
          <w:lang w:eastAsia="it-IT"/>
          <w14:ligatures w14:val="none"/>
        </w:rPr>
      </w:pPr>
      <w:r w:rsidRPr="00C814F1">
        <w:rPr>
          <w:sz w:val="20"/>
          <w:szCs w:val="20"/>
        </w:rPr>
        <w:t>Classi dissenzienti non infime o di pari grado.</w:t>
      </w:r>
    </w:p>
    <w:p w14:paraId="23D9501B" w14:textId="77777777" w:rsidR="00362F98" w:rsidRPr="00C814F1" w:rsidRDefault="00362F98" w:rsidP="00362F98">
      <w:pPr>
        <w:pStyle w:val="Paragrafoelenco"/>
        <w:numPr>
          <w:ilvl w:val="0"/>
          <w:numId w:val="11"/>
        </w:numPr>
        <w:rPr>
          <w:sz w:val="20"/>
          <w:szCs w:val="20"/>
        </w:rPr>
      </w:pPr>
      <w:r w:rsidRPr="00C814F1">
        <w:rPr>
          <w:sz w:val="20"/>
          <w:szCs w:val="20"/>
        </w:rPr>
        <w:t>Unica classe dissenziente di ultimo grado.</w:t>
      </w:r>
    </w:p>
    <w:p w14:paraId="62E2E696" w14:textId="77777777" w:rsidR="00362F98" w:rsidRPr="00C814F1" w:rsidRDefault="00362F98" w:rsidP="00362F98">
      <w:pPr>
        <w:pStyle w:val="Paragrafoelenco"/>
        <w:numPr>
          <w:ilvl w:val="0"/>
          <w:numId w:val="11"/>
        </w:numPr>
        <w:rPr>
          <w:sz w:val="20"/>
          <w:szCs w:val="20"/>
        </w:rPr>
      </w:pPr>
      <w:r w:rsidRPr="00C814F1">
        <w:rPr>
          <w:sz w:val="20"/>
          <w:szCs w:val="20"/>
        </w:rPr>
        <w:t>Funzione: verificare se il valore lasciato ai soci altera indebitamente il trattamento dei creditori dissenzienti.</w:t>
      </w:r>
    </w:p>
    <w:p w14:paraId="75C577F3" w14:textId="77777777" w:rsidR="00362F98" w:rsidRPr="00C814F1" w:rsidRDefault="00362F98">
      <w:pPr>
        <w:pStyle w:val="Titolo2"/>
        <w:rPr>
          <w:rFonts w:asciiTheme="minorHAnsi" w:hAnsiTheme="minorHAnsi" w:cstheme="minorBidi"/>
          <w:kern w:val="0"/>
          <w:sz w:val="36"/>
          <w:szCs w:val="36"/>
          <w:lang w:eastAsia="it-IT"/>
          <w14:ligatures w14:val="none"/>
        </w:rPr>
      </w:pPr>
      <w:r w:rsidRPr="00C814F1">
        <w:rPr>
          <w:rFonts w:asciiTheme="minorHAnsi" w:hAnsiTheme="minorHAnsi" w:cstheme="minorBidi"/>
        </w:rPr>
        <w:t>Slide 9 — Testo normativo essenziale: comma 2</w:t>
      </w:r>
    </w:p>
    <w:p w14:paraId="3EAC98FD" w14:textId="77777777" w:rsidR="00362F98" w:rsidRPr="00C814F1" w:rsidRDefault="00362F98">
      <w:pPr>
        <w:rPr>
          <w:kern w:val="0"/>
          <w:lang w:eastAsia="it-IT"/>
          <w14:ligatures w14:val="none"/>
        </w:rPr>
      </w:pPr>
      <w:r w:rsidRPr="00C814F1">
        <w:rPr>
          <w:i/>
          <w:iCs/>
        </w:rPr>
        <w:t>Per valore riservato ai soci si intende il valore effettivo, conseguente all’omologazione, delle partecipazioni e degli strumenti che attribuiscono il diritto di acquisirle, dedotto il valore eventualmente apportato dai soci ai fini della ristrutturazione.</w:t>
      </w:r>
    </w:p>
    <w:p w14:paraId="4FD094FF" w14:textId="77777777" w:rsidR="00362F98" w:rsidRPr="00C814F1" w:rsidRDefault="00362F98" w:rsidP="00362F98">
      <w:pPr>
        <w:pStyle w:val="Paragrafoelenco"/>
        <w:numPr>
          <w:ilvl w:val="0"/>
          <w:numId w:val="12"/>
        </w:numPr>
        <w:rPr>
          <w:kern w:val="0"/>
          <w:sz w:val="20"/>
          <w:szCs w:val="20"/>
          <w:lang w:eastAsia="it-IT"/>
          <w14:ligatures w14:val="none"/>
        </w:rPr>
      </w:pPr>
      <w:r w:rsidRPr="00C814F1">
        <w:rPr>
          <w:sz w:val="20"/>
          <w:szCs w:val="20"/>
        </w:rPr>
        <w:t>Valore effettivo delle partecipazioni.</w:t>
      </w:r>
    </w:p>
    <w:p w14:paraId="0FF0E018" w14:textId="77777777" w:rsidR="00362F98" w:rsidRPr="00C814F1" w:rsidRDefault="00362F98" w:rsidP="00362F98">
      <w:pPr>
        <w:pStyle w:val="Paragrafoelenco"/>
        <w:numPr>
          <w:ilvl w:val="0"/>
          <w:numId w:val="12"/>
        </w:numPr>
        <w:rPr>
          <w:sz w:val="20"/>
          <w:szCs w:val="20"/>
        </w:rPr>
      </w:pPr>
      <w:r w:rsidRPr="00C814F1">
        <w:rPr>
          <w:sz w:val="20"/>
          <w:szCs w:val="20"/>
        </w:rPr>
        <w:t>Valore conseguente all’omologazione.</w:t>
      </w:r>
    </w:p>
    <w:p w14:paraId="26D1A9F3" w14:textId="77777777" w:rsidR="00362F98" w:rsidRPr="00C814F1" w:rsidRDefault="00362F98" w:rsidP="00362F98">
      <w:pPr>
        <w:pStyle w:val="Paragrafoelenco"/>
        <w:numPr>
          <w:ilvl w:val="0"/>
          <w:numId w:val="12"/>
        </w:numPr>
        <w:rPr>
          <w:sz w:val="20"/>
          <w:szCs w:val="20"/>
        </w:rPr>
      </w:pPr>
      <w:r w:rsidRPr="00C814F1">
        <w:rPr>
          <w:sz w:val="20"/>
          <w:szCs w:val="20"/>
        </w:rPr>
        <w:lastRenderedPageBreak/>
        <w:t>Deduzione degli apporti dei soci.</w:t>
      </w:r>
    </w:p>
    <w:p w14:paraId="54718FB7" w14:textId="77777777" w:rsidR="00362F98" w:rsidRPr="00C814F1" w:rsidRDefault="00362F98" w:rsidP="00362F98">
      <w:pPr>
        <w:pStyle w:val="Paragrafoelenco"/>
        <w:numPr>
          <w:ilvl w:val="0"/>
          <w:numId w:val="12"/>
        </w:numPr>
        <w:rPr>
          <w:sz w:val="20"/>
          <w:szCs w:val="20"/>
        </w:rPr>
      </w:pPr>
      <w:r w:rsidRPr="00C814F1">
        <w:rPr>
          <w:sz w:val="20"/>
          <w:szCs w:val="20"/>
        </w:rPr>
        <w:t>Conferimenti, versamenti a fondo perduto o apporti in altra forma per imprese minori.</w:t>
      </w:r>
    </w:p>
    <w:p w14:paraId="0DB0D613" w14:textId="77777777" w:rsidR="00362F98" w:rsidRPr="00C814F1" w:rsidRDefault="00362F98">
      <w:pPr>
        <w:pStyle w:val="Titolo2"/>
        <w:rPr>
          <w:rFonts w:asciiTheme="minorHAnsi" w:hAnsiTheme="minorHAnsi" w:cstheme="minorBidi"/>
          <w:kern w:val="0"/>
          <w:sz w:val="36"/>
          <w:szCs w:val="36"/>
          <w:lang w:eastAsia="it-IT"/>
          <w14:ligatures w14:val="none"/>
        </w:rPr>
      </w:pPr>
      <w:r w:rsidRPr="00C814F1">
        <w:rPr>
          <w:rFonts w:asciiTheme="minorHAnsi" w:hAnsiTheme="minorHAnsi" w:cstheme="minorBidi"/>
        </w:rPr>
        <w:t>Slide 10 — Testo normativo essenziale: valore d’uso</w:t>
      </w:r>
    </w:p>
    <w:p w14:paraId="473F3A1B" w14:textId="77777777" w:rsidR="00362F98" w:rsidRPr="00C814F1" w:rsidRDefault="00362F98">
      <w:pPr>
        <w:rPr>
          <w:kern w:val="0"/>
          <w:lang w:eastAsia="it-IT"/>
          <w14:ligatures w14:val="none"/>
        </w:rPr>
      </w:pPr>
      <w:r w:rsidRPr="00C814F1">
        <w:rPr>
          <w:i/>
          <w:iCs/>
        </w:rPr>
        <w:t>Il valore effettivo è determinato in conformità ai principi contabili applicabili per la determinazione del valore d’uso, sulla base del valore attuale dei flussi finanziari futuri, utilizzando i dati risultanti dal piano ed estrapolando le proiezioni per gli anni successivi.</w:t>
      </w:r>
    </w:p>
    <w:p w14:paraId="389F27D1" w14:textId="77777777" w:rsidR="00362F98" w:rsidRPr="00C814F1" w:rsidRDefault="00362F98" w:rsidP="00362F98">
      <w:pPr>
        <w:pStyle w:val="Paragrafoelenco"/>
        <w:numPr>
          <w:ilvl w:val="0"/>
          <w:numId w:val="13"/>
        </w:numPr>
        <w:rPr>
          <w:kern w:val="0"/>
          <w:sz w:val="20"/>
          <w:szCs w:val="20"/>
          <w:lang w:eastAsia="it-IT"/>
          <w14:ligatures w14:val="none"/>
        </w:rPr>
      </w:pPr>
      <w:r w:rsidRPr="00C814F1">
        <w:rPr>
          <w:sz w:val="20"/>
          <w:szCs w:val="20"/>
        </w:rPr>
        <w:t>Flussi finanziari futuri.</w:t>
      </w:r>
    </w:p>
    <w:p w14:paraId="4CC74515" w14:textId="77777777" w:rsidR="00362F98" w:rsidRPr="00C814F1" w:rsidRDefault="00362F98" w:rsidP="00362F98">
      <w:pPr>
        <w:pStyle w:val="Paragrafoelenco"/>
        <w:numPr>
          <w:ilvl w:val="0"/>
          <w:numId w:val="13"/>
        </w:numPr>
        <w:rPr>
          <w:sz w:val="20"/>
          <w:szCs w:val="20"/>
        </w:rPr>
      </w:pPr>
      <w:r w:rsidRPr="00C814F1">
        <w:rPr>
          <w:sz w:val="20"/>
          <w:szCs w:val="20"/>
        </w:rPr>
        <w:t>Attualizzazione.</w:t>
      </w:r>
    </w:p>
    <w:p w14:paraId="13B20D66" w14:textId="77777777" w:rsidR="00362F98" w:rsidRPr="00C814F1" w:rsidRDefault="00362F98" w:rsidP="00362F98">
      <w:pPr>
        <w:pStyle w:val="Paragrafoelenco"/>
        <w:numPr>
          <w:ilvl w:val="0"/>
          <w:numId w:val="13"/>
        </w:numPr>
        <w:rPr>
          <w:sz w:val="20"/>
          <w:szCs w:val="20"/>
        </w:rPr>
      </w:pPr>
      <w:r w:rsidRPr="00C814F1">
        <w:rPr>
          <w:sz w:val="20"/>
          <w:szCs w:val="20"/>
        </w:rPr>
        <w:t>Proiezioni ultra-piano.</w:t>
      </w:r>
    </w:p>
    <w:p w14:paraId="30B8C292" w14:textId="77777777" w:rsidR="00362F98" w:rsidRPr="00C814F1" w:rsidRDefault="00362F98" w:rsidP="00362F98">
      <w:pPr>
        <w:pStyle w:val="Paragrafoelenco"/>
        <w:numPr>
          <w:ilvl w:val="0"/>
          <w:numId w:val="13"/>
        </w:numPr>
        <w:rPr>
          <w:sz w:val="20"/>
          <w:szCs w:val="20"/>
        </w:rPr>
      </w:pPr>
      <w:r w:rsidRPr="00C814F1">
        <w:rPr>
          <w:sz w:val="20"/>
          <w:szCs w:val="20"/>
        </w:rPr>
        <w:t>Terminal value.</w:t>
      </w:r>
    </w:p>
    <w:p w14:paraId="3B0D1D93" w14:textId="77777777" w:rsidR="00362F98" w:rsidRPr="00C814F1" w:rsidRDefault="00362F98" w:rsidP="00362F98">
      <w:pPr>
        <w:pStyle w:val="Paragrafoelenco"/>
        <w:numPr>
          <w:ilvl w:val="0"/>
          <w:numId w:val="13"/>
        </w:numPr>
        <w:rPr>
          <w:sz w:val="20"/>
          <w:szCs w:val="20"/>
        </w:rPr>
      </w:pPr>
      <w:r w:rsidRPr="00C814F1">
        <w:rPr>
          <w:sz w:val="20"/>
          <w:szCs w:val="20"/>
        </w:rPr>
        <w:t>Elevata opinabilità della stima.</w:t>
      </w:r>
    </w:p>
    <w:p w14:paraId="0B79BE0F" w14:textId="77777777" w:rsidR="00362F98" w:rsidRPr="00C814F1" w:rsidRDefault="00362F98">
      <w:pPr>
        <w:pStyle w:val="Titolo2"/>
        <w:rPr>
          <w:rFonts w:asciiTheme="minorHAnsi" w:hAnsiTheme="minorHAnsi" w:cstheme="minorBidi"/>
          <w:kern w:val="0"/>
          <w:sz w:val="36"/>
          <w:szCs w:val="36"/>
          <w:lang w:eastAsia="it-IT"/>
          <w14:ligatures w14:val="none"/>
        </w:rPr>
      </w:pPr>
      <w:r w:rsidRPr="00C814F1">
        <w:rPr>
          <w:rFonts w:asciiTheme="minorHAnsi" w:hAnsiTheme="minorHAnsi" w:cstheme="minorBidi"/>
        </w:rPr>
        <w:t>Slide 11 — Le “attribuzioni ai soci”</w:t>
      </w:r>
    </w:p>
    <w:p w14:paraId="330FB35B" w14:textId="77777777" w:rsidR="00362F98" w:rsidRPr="00C814F1" w:rsidRDefault="00362F98" w:rsidP="00362F98">
      <w:pPr>
        <w:pStyle w:val="Paragrafoelenco"/>
        <w:numPr>
          <w:ilvl w:val="0"/>
          <w:numId w:val="14"/>
        </w:numPr>
        <w:rPr>
          <w:kern w:val="0"/>
          <w:sz w:val="20"/>
          <w:szCs w:val="20"/>
          <w:lang w:eastAsia="it-IT"/>
          <w14:ligatures w14:val="none"/>
        </w:rPr>
      </w:pPr>
      <w:r w:rsidRPr="00C814F1">
        <w:rPr>
          <w:sz w:val="20"/>
          <w:szCs w:val="20"/>
        </w:rPr>
        <w:t>La rubrica parla di “attribuzioni ai soci”.</w:t>
      </w:r>
    </w:p>
    <w:p w14:paraId="7C606DA4" w14:textId="77777777" w:rsidR="00362F98" w:rsidRPr="00C814F1" w:rsidRDefault="00362F98" w:rsidP="00362F98">
      <w:pPr>
        <w:pStyle w:val="Paragrafoelenco"/>
        <w:numPr>
          <w:ilvl w:val="0"/>
          <w:numId w:val="14"/>
        </w:numPr>
        <w:rPr>
          <w:sz w:val="20"/>
          <w:szCs w:val="20"/>
        </w:rPr>
      </w:pPr>
      <w:r w:rsidRPr="00C814F1">
        <w:rPr>
          <w:sz w:val="20"/>
          <w:szCs w:val="20"/>
        </w:rPr>
        <w:t>Il testo guarda al “valore riservato ai soci”.</w:t>
      </w:r>
    </w:p>
    <w:p w14:paraId="1A5B26A4" w14:textId="77777777" w:rsidR="00362F98" w:rsidRPr="00C814F1" w:rsidRDefault="00362F98" w:rsidP="00362F98">
      <w:pPr>
        <w:pStyle w:val="Paragrafoelenco"/>
        <w:numPr>
          <w:ilvl w:val="0"/>
          <w:numId w:val="14"/>
        </w:numPr>
        <w:rPr>
          <w:sz w:val="20"/>
          <w:szCs w:val="20"/>
        </w:rPr>
      </w:pPr>
      <w:r w:rsidRPr="00C814F1">
        <w:rPr>
          <w:sz w:val="20"/>
          <w:szCs w:val="20"/>
        </w:rPr>
        <w:t>Non serve una distribuzione formale di beni, denaro o utilità.</w:t>
      </w:r>
    </w:p>
    <w:p w14:paraId="35E61102" w14:textId="77777777" w:rsidR="00362F98" w:rsidRPr="00C814F1" w:rsidRDefault="00362F98" w:rsidP="00362F98">
      <w:pPr>
        <w:pStyle w:val="Paragrafoelenco"/>
        <w:numPr>
          <w:ilvl w:val="0"/>
          <w:numId w:val="14"/>
        </w:numPr>
        <w:rPr>
          <w:sz w:val="20"/>
          <w:szCs w:val="20"/>
        </w:rPr>
      </w:pPr>
      <w:r w:rsidRPr="00C814F1">
        <w:rPr>
          <w:sz w:val="20"/>
          <w:szCs w:val="20"/>
        </w:rPr>
        <w:t>È sufficiente la conservazione di partecipazioni valorizzate dalla ristrutturazione.</w:t>
      </w:r>
    </w:p>
    <w:p w14:paraId="562752BE" w14:textId="77777777" w:rsidR="00362F98" w:rsidRPr="00C814F1" w:rsidRDefault="00362F98" w:rsidP="00362F98">
      <w:pPr>
        <w:pStyle w:val="Paragrafoelenco"/>
        <w:numPr>
          <w:ilvl w:val="0"/>
          <w:numId w:val="14"/>
        </w:numPr>
        <w:rPr>
          <w:sz w:val="20"/>
          <w:szCs w:val="20"/>
        </w:rPr>
      </w:pPr>
      <w:r w:rsidRPr="00C814F1">
        <w:rPr>
          <w:sz w:val="20"/>
          <w:szCs w:val="20"/>
        </w:rPr>
        <w:t>La norma guarda alla sostanza economica dell’operazione.</w:t>
      </w:r>
    </w:p>
    <w:p w14:paraId="67F95C6F" w14:textId="77777777" w:rsidR="00362F98" w:rsidRPr="00C814F1" w:rsidRDefault="00362F98">
      <w:pPr>
        <w:pStyle w:val="Titolo2"/>
        <w:rPr>
          <w:rFonts w:asciiTheme="minorHAnsi" w:hAnsiTheme="minorHAnsi" w:cstheme="minorBidi"/>
          <w:kern w:val="0"/>
          <w:sz w:val="36"/>
          <w:szCs w:val="36"/>
          <w:lang w:eastAsia="it-IT"/>
          <w14:ligatures w14:val="none"/>
        </w:rPr>
      </w:pPr>
      <w:r w:rsidRPr="00C814F1">
        <w:rPr>
          <w:rFonts w:asciiTheme="minorHAnsi" w:hAnsiTheme="minorHAnsi" w:cstheme="minorBidi"/>
        </w:rPr>
        <w:t>Slide 12 — Valore riservato ai soci</w:t>
      </w:r>
    </w:p>
    <w:p w14:paraId="4DE5EEFC" w14:textId="77777777" w:rsidR="00362F98" w:rsidRPr="00C814F1" w:rsidRDefault="00362F98">
      <w:pPr>
        <w:rPr>
          <w:kern w:val="0"/>
          <w:lang w:eastAsia="it-IT"/>
          <w14:ligatures w14:val="none"/>
        </w:rPr>
      </w:pPr>
      <w:r w:rsidRPr="00C814F1">
        <w:rPr>
          <w:b/>
          <w:bCs/>
        </w:rPr>
        <w:t>Valore riservato ai soci = valore effettivo delle partecipazioni dopo l’omologazione − valore apportato dai soci ai fini della ristrutturazione.</w:t>
      </w:r>
    </w:p>
    <w:p w14:paraId="08FE3EB5" w14:textId="77777777" w:rsidR="00362F98" w:rsidRPr="00C814F1" w:rsidRDefault="00362F98" w:rsidP="00362F98">
      <w:pPr>
        <w:pStyle w:val="Paragrafoelenco"/>
        <w:numPr>
          <w:ilvl w:val="0"/>
          <w:numId w:val="15"/>
        </w:numPr>
        <w:rPr>
          <w:kern w:val="0"/>
          <w:sz w:val="20"/>
          <w:szCs w:val="20"/>
          <w:lang w:eastAsia="it-IT"/>
          <w14:ligatures w14:val="none"/>
        </w:rPr>
      </w:pPr>
      <w:r w:rsidRPr="00C814F1">
        <w:rPr>
          <w:sz w:val="20"/>
          <w:szCs w:val="20"/>
        </w:rPr>
        <w:t>I soci anteriori possono conservare valore solo entro certe condizioni.</w:t>
      </w:r>
    </w:p>
    <w:p w14:paraId="1CB86E10" w14:textId="77777777" w:rsidR="00362F98" w:rsidRPr="00C814F1" w:rsidRDefault="00362F98" w:rsidP="00362F98">
      <w:pPr>
        <w:pStyle w:val="Paragrafoelenco"/>
        <w:numPr>
          <w:ilvl w:val="0"/>
          <w:numId w:val="15"/>
        </w:numPr>
        <w:rPr>
          <w:sz w:val="20"/>
          <w:szCs w:val="20"/>
        </w:rPr>
      </w:pPr>
      <w:r w:rsidRPr="00C814F1">
        <w:rPr>
          <w:sz w:val="20"/>
          <w:szCs w:val="20"/>
        </w:rPr>
        <w:t>Gli apporti riducono il valore “riservato”.</w:t>
      </w:r>
    </w:p>
    <w:p w14:paraId="6A631A27" w14:textId="77777777" w:rsidR="00362F98" w:rsidRPr="00C814F1" w:rsidRDefault="00362F98" w:rsidP="00362F98">
      <w:pPr>
        <w:pStyle w:val="Paragrafoelenco"/>
        <w:numPr>
          <w:ilvl w:val="0"/>
          <w:numId w:val="15"/>
        </w:numPr>
        <w:rPr>
          <w:sz w:val="20"/>
          <w:szCs w:val="20"/>
        </w:rPr>
      </w:pPr>
      <w:r w:rsidRPr="00C814F1">
        <w:rPr>
          <w:sz w:val="20"/>
          <w:szCs w:val="20"/>
        </w:rPr>
        <w:t>Il punto critico è la stima del valore effettivo.</w:t>
      </w:r>
    </w:p>
    <w:p w14:paraId="6FDEF605" w14:textId="77777777" w:rsidR="00362F98" w:rsidRPr="00C814F1" w:rsidRDefault="00362F98">
      <w:pPr>
        <w:pStyle w:val="Titolo2"/>
        <w:rPr>
          <w:rFonts w:asciiTheme="minorHAnsi" w:hAnsiTheme="minorHAnsi" w:cstheme="minorBidi"/>
          <w:kern w:val="0"/>
          <w:sz w:val="36"/>
          <w:szCs w:val="36"/>
          <w:lang w:eastAsia="it-IT"/>
          <w14:ligatures w14:val="none"/>
        </w:rPr>
      </w:pPr>
      <w:r w:rsidRPr="00C814F1">
        <w:rPr>
          <w:rFonts w:asciiTheme="minorHAnsi" w:hAnsiTheme="minorHAnsi" w:cstheme="minorBidi"/>
        </w:rPr>
        <w:t>Slide 13 — Ambito di applicazione</w:t>
      </w:r>
    </w:p>
    <w:p w14:paraId="0A9AEF64" w14:textId="77777777" w:rsidR="00362F98" w:rsidRPr="00C814F1" w:rsidRDefault="00362F98" w:rsidP="00362F98">
      <w:pPr>
        <w:pStyle w:val="Paragrafoelenco"/>
        <w:numPr>
          <w:ilvl w:val="0"/>
          <w:numId w:val="16"/>
        </w:numPr>
        <w:rPr>
          <w:kern w:val="0"/>
          <w:sz w:val="20"/>
          <w:szCs w:val="20"/>
          <w:lang w:eastAsia="it-IT"/>
          <w14:ligatures w14:val="none"/>
        </w:rPr>
      </w:pPr>
      <w:r w:rsidRPr="00C814F1">
        <w:rPr>
          <w:sz w:val="20"/>
          <w:szCs w:val="20"/>
        </w:rPr>
        <w:t>Opera soprattutto nel concordato in continuità diretta.</w:t>
      </w:r>
    </w:p>
    <w:p w14:paraId="74DE7504" w14:textId="77777777" w:rsidR="00362F98" w:rsidRPr="00C814F1" w:rsidRDefault="00362F98" w:rsidP="00362F98">
      <w:pPr>
        <w:pStyle w:val="Paragrafoelenco"/>
        <w:numPr>
          <w:ilvl w:val="0"/>
          <w:numId w:val="16"/>
        </w:numPr>
        <w:rPr>
          <w:sz w:val="20"/>
          <w:szCs w:val="20"/>
        </w:rPr>
      </w:pPr>
      <w:r w:rsidRPr="00C814F1">
        <w:rPr>
          <w:sz w:val="20"/>
          <w:szCs w:val="20"/>
        </w:rPr>
        <w:t>Applicazione problematica alla continuità indiretta.</w:t>
      </w:r>
    </w:p>
    <w:p w14:paraId="153C024F" w14:textId="77777777" w:rsidR="00362F98" w:rsidRPr="00C814F1" w:rsidRDefault="00362F98" w:rsidP="00362F98">
      <w:pPr>
        <w:pStyle w:val="Paragrafoelenco"/>
        <w:numPr>
          <w:ilvl w:val="0"/>
          <w:numId w:val="16"/>
        </w:numPr>
        <w:rPr>
          <w:sz w:val="20"/>
          <w:szCs w:val="20"/>
        </w:rPr>
      </w:pPr>
      <w:r w:rsidRPr="00C814F1">
        <w:rPr>
          <w:sz w:val="20"/>
          <w:szCs w:val="20"/>
        </w:rPr>
        <w:t>Tendenziale esclusione per concordato liquidatorio e concordato semplificato.</w:t>
      </w:r>
    </w:p>
    <w:p w14:paraId="3A313ABC" w14:textId="77777777" w:rsidR="00362F98" w:rsidRPr="00C814F1" w:rsidRDefault="00362F98" w:rsidP="00362F98">
      <w:pPr>
        <w:pStyle w:val="Paragrafoelenco"/>
        <w:numPr>
          <w:ilvl w:val="0"/>
          <w:numId w:val="16"/>
        </w:numPr>
        <w:rPr>
          <w:sz w:val="20"/>
          <w:szCs w:val="20"/>
        </w:rPr>
      </w:pPr>
      <w:r w:rsidRPr="00C814F1">
        <w:rPr>
          <w:sz w:val="20"/>
          <w:szCs w:val="20"/>
        </w:rPr>
        <w:t>Esclusione del P.R.O.: manca il dissenso superabile tramite ristrutturazione trasversale.</w:t>
      </w:r>
    </w:p>
    <w:p w14:paraId="0DA71451" w14:textId="77777777" w:rsidR="00362F98" w:rsidRPr="00C814F1" w:rsidRDefault="00362F98" w:rsidP="00362F98">
      <w:pPr>
        <w:pStyle w:val="Paragrafoelenco"/>
        <w:numPr>
          <w:ilvl w:val="0"/>
          <w:numId w:val="16"/>
        </w:numPr>
        <w:rPr>
          <w:sz w:val="20"/>
          <w:szCs w:val="20"/>
        </w:rPr>
      </w:pPr>
      <w:r w:rsidRPr="00C814F1">
        <w:rPr>
          <w:sz w:val="20"/>
          <w:szCs w:val="20"/>
        </w:rPr>
        <w:t>Baricentro concordatario e continuità diretta.</w:t>
      </w:r>
    </w:p>
    <w:p w14:paraId="189E3D21" w14:textId="77777777" w:rsidR="00362F98" w:rsidRPr="00C814F1" w:rsidRDefault="00362F98">
      <w:pPr>
        <w:pStyle w:val="Titolo2"/>
        <w:rPr>
          <w:rFonts w:asciiTheme="minorHAnsi" w:hAnsiTheme="minorHAnsi" w:cstheme="minorBidi"/>
          <w:kern w:val="0"/>
          <w:sz w:val="36"/>
          <w:szCs w:val="36"/>
          <w:lang w:eastAsia="it-IT"/>
          <w14:ligatures w14:val="none"/>
        </w:rPr>
      </w:pPr>
      <w:r w:rsidRPr="00C814F1">
        <w:rPr>
          <w:rFonts w:asciiTheme="minorHAnsi" w:hAnsiTheme="minorHAnsi" w:cstheme="minorBidi"/>
        </w:rPr>
        <w:t>Slide 14 — Soci anteriori alla domanda</w:t>
      </w:r>
    </w:p>
    <w:p w14:paraId="6A8D25AB" w14:textId="77777777" w:rsidR="00362F98" w:rsidRPr="00C814F1" w:rsidRDefault="00362F98" w:rsidP="00362F98">
      <w:pPr>
        <w:pStyle w:val="Paragrafoelenco"/>
        <w:numPr>
          <w:ilvl w:val="0"/>
          <w:numId w:val="17"/>
        </w:numPr>
        <w:rPr>
          <w:kern w:val="0"/>
          <w:sz w:val="20"/>
          <w:szCs w:val="20"/>
          <w:lang w:eastAsia="it-IT"/>
          <w14:ligatures w14:val="none"/>
        </w:rPr>
      </w:pPr>
      <w:r w:rsidRPr="00C814F1">
        <w:rPr>
          <w:sz w:val="20"/>
          <w:szCs w:val="20"/>
        </w:rPr>
        <w:t>La norma riguarda i soci anteriori alla presentazione della domanda.</w:t>
      </w:r>
    </w:p>
    <w:p w14:paraId="43EAF5D3" w14:textId="77777777" w:rsidR="00362F98" w:rsidRPr="00C814F1" w:rsidRDefault="00362F98" w:rsidP="00362F98">
      <w:pPr>
        <w:pStyle w:val="Paragrafoelenco"/>
        <w:numPr>
          <w:ilvl w:val="0"/>
          <w:numId w:val="17"/>
        </w:numPr>
        <w:rPr>
          <w:sz w:val="20"/>
          <w:szCs w:val="20"/>
        </w:rPr>
      </w:pPr>
      <w:r w:rsidRPr="00C814F1">
        <w:rPr>
          <w:sz w:val="20"/>
          <w:szCs w:val="20"/>
        </w:rPr>
        <w:t>Ratio: evitare che i soci della crisi beneficino del valore generato dal sacrificio dei creditori.</w:t>
      </w:r>
    </w:p>
    <w:p w14:paraId="27E57E4A" w14:textId="77777777" w:rsidR="00362F98" w:rsidRPr="00C814F1" w:rsidRDefault="00362F98" w:rsidP="00362F98">
      <w:pPr>
        <w:pStyle w:val="Paragrafoelenco"/>
        <w:numPr>
          <w:ilvl w:val="0"/>
          <w:numId w:val="17"/>
        </w:numPr>
        <w:rPr>
          <w:sz w:val="20"/>
          <w:szCs w:val="20"/>
        </w:rPr>
      </w:pPr>
      <w:r w:rsidRPr="00C814F1">
        <w:rPr>
          <w:sz w:val="20"/>
          <w:szCs w:val="20"/>
        </w:rPr>
        <w:t>I soci anteriori devono “ricomprare” la partecipazione mediante apporti.</w:t>
      </w:r>
    </w:p>
    <w:p w14:paraId="2A2AA02C" w14:textId="77777777" w:rsidR="00362F98" w:rsidRPr="00C814F1" w:rsidRDefault="00362F98" w:rsidP="00362F98">
      <w:pPr>
        <w:pStyle w:val="Paragrafoelenco"/>
        <w:numPr>
          <w:ilvl w:val="0"/>
          <w:numId w:val="17"/>
        </w:numPr>
        <w:rPr>
          <w:sz w:val="20"/>
          <w:szCs w:val="20"/>
        </w:rPr>
      </w:pPr>
      <w:r w:rsidRPr="00C814F1">
        <w:rPr>
          <w:sz w:val="20"/>
          <w:szCs w:val="20"/>
        </w:rPr>
        <w:t>Possibile esclusione dei soci entrati dopo la domanda, salvo verifica di abusi.</w:t>
      </w:r>
    </w:p>
    <w:p w14:paraId="404F6FCE" w14:textId="77777777" w:rsidR="00362F98" w:rsidRPr="00C814F1" w:rsidRDefault="00362F98" w:rsidP="00362F98">
      <w:pPr>
        <w:pStyle w:val="Paragrafoelenco"/>
        <w:numPr>
          <w:ilvl w:val="0"/>
          <w:numId w:val="17"/>
        </w:numPr>
        <w:rPr>
          <w:sz w:val="20"/>
          <w:szCs w:val="20"/>
        </w:rPr>
      </w:pPr>
      <w:r w:rsidRPr="00C814F1">
        <w:rPr>
          <w:sz w:val="20"/>
          <w:szCs w:val="20"/>
        </w:rPr>
        <w:t>Attenzione a trasferimenti simulati o elusivi.</w:t>
      </w:r>
    </w:p>
    <w:p w14:paraId="7DFCCB9D" w14:textId="77777777" w:rsidR="00362F98" w:rsidRPr="00C814F1" w:rsidRDefault="00362F98">
      <w:pPr>
        <w:pStyle w:val="Titolo2"/>
        <w:rPr>
          <w:rFonts w:asciiTheme="minorHAnsi" w:hAnsiTheme="minorHAnsi" w:cstheme="minorBidi"/>
          <w:kern w:val="0"/>
          <w:sz w:val="36"/>
          <w:szCs w:val="36"/>
          <w:lang w:eastAsia="it-IT"/>
          <w14:ligatures w14:val="none"/>
        </w:rPr>
      </w:pPr>
      <w:r w:rsidRPr="00C814F1">
        <w:rPr>
          <w:rFonts w:asciiTheme="minorHAnsi" w:hAnsiTheme="minorHAnsi" w:cstheme="minorBidi"/>
        </w:rPr>
        <w:t>Slide 15 — Valore effettivo delle partecipazioni</w:t>
      </w:r>
    </w:p>
    <w:p w14:paraId="66B761BA" w14:textId="77777777" w:rsidR="00362F98" w:rsidRPr="00C814F1" w:rsidRDefault="00362F98" w:rsidP="00362F98">
      <w:pPr>
        <w:pStyle w:val="Paragrafoelenco"/>
        <w:numPr>
          <w:ilvl w:val="0"/>
          <w:numId w:val="18"/>
        </w:numPr>
        <w:rPr>
          <w:kern w:val="0"/>
          <w:sz w:val="20"/>
          <w:szCs w:val="20"/>
          <w:lang w:eastAsia="it-IT"/>
          <w14:ligatures w14:val="none"/>
        </w:rPr>
      </w:pPr>
      <w:r w:rsidRPr="00C814F1">
        <w:rPr>
          <w:sz w:val="20"/>
          <w:szCs w:val="20"/>
        </w:rPr>
        <w:t>La stima non si fonda sul mero valore contabile.</w:t>
      </w:r>
    </w:p>
    <w:p w14:paraId="242CFEA7" w14:textId="77777777" w:rsidR="00362F98" w:rsidRPr="00C814F1" w:rsidRDefault="00362F98" w:rsidP="00362F98">
      <w:pPr>
        <w:pStyle w:val="Paragrafoelenco"/>
        <w:numPr>
          <w:ilvl w:val="0"/>
          <w:numId w:val="18"/>
        </w:numPr>
        <w:rPr>
          <w:sz w:val="20"/>
          <w:szCs w:val="20"/>
        </w:rPr>
      </w:pPr>
      <w:r w:rsidRPr="00C814F1">
        <w:rPr>
          <w:sz w:val="20"/>
          <w:szCs w:val="20"/>
        </w:rPr>
        <w:t>Conta il valore conseguente all’omologazione.</w:t>
      </w:r>
    </w:p>
    <w:p w14:paraId="6D321D97" w14:textId="77777777" w:rsidR="00362F98" w:rsidRPr="00C814F1" w:rsidRDefault="00362F98" w:rsidP="00362F98">
      <w:pPr>
        <w:pStyle w:val="Paragrafoelenco"/>
        <w:numPr>
          <w:ilvl w:val="0"/>
          <w:numId w:val="18"/>
        </w:numPr>
        <w:rPr>
          <w:sz w:val="20"/>
          <w:szCs w:val="20"/>
        </w:rPr>
      </w:pPr>
      <w:r w:rsidRPr="00C814F1">
        <w:rPr>
          <w:sz w:val="20"/>
          <w:szCs w:val="20"/>
        </w:rPr>
        <w:t>Il criterio è dinamico e guarda ai flussi futuri.</w:t>
      </w:r>
    </w:p>
    <w:p w14:paraId="36A60A4A" w14:textId="77777777" w:rsidR="00362F98" w:rsidRPr="00C814F1" w:rsidRDefault="00362F98" w:rsidP="00362F98">
      <w:pPr>
        <w:pStyle w:val="Paragrafoelenco"/>
        <w:numPr>
          <w:ilvl w:val="0"/>
          <w:numId w:val="18"/>
        </w:numPr>
        <w:rPr>
          <w:sz w:val="20"/>
          <w:szCs w:val="20"/>
        </w:rPr>
      </w:pPr>
      <w:r w:rsidRPr="00C814F1">
        <w:rPr>
          <w:sz w:val="20"/>
          <w:szCs w:val="20"/>
        </w:rPr>
        <w:t>Le proiezioni possono superare l’orizzonte del piano.</w:t>
      </w:r>
    </w:p>
    <w:p w14:paraId="1AE58A08" w14:textId="77777777" w:rsidR="00362F98" w:rsidRPr="00C814F1" w:rsidRDefault="00362F98" w:rsidP="00362F98">
      <w:pPr>
        <w:pStyle w:val="Paragrafoelenco"/>
        <w:numPr>
          <w:ilvl w:val="0"/>
          <w:numId w:val="18"/>
        </w:numPr>
        <w:rPr>
          <w:sz w:val="20"/>
          <w:szCs w:val="20"/>
        </w:rPr>
      </w:pPr>
      <w:r w:rsidRPr="00C814F1">
        <w:rPr>
          <w:sz w:val="20"/>
          <w:szCs w:val="20"/>
        </w:rPr>
        <w:t>Fattori critici: flussi, tasso di attualizzazione, durata delle proiezioni, terminal value.</w:t>
      </w:r>
    </w:p>
    <w:p w14:paraId="664A6A4E" w14:textId="77777777" w:rsidR="00362F98" w:rsidRPr="00C814F1" w:rsidRDefault="00362F98">
      <w:pPr>
        <w:pStyle w:val="Titolo2"/>
        <w:rPr>
          <w:rFonts w:asciiTheme="minorHAnsi" w:hAnsiTheme="minorHAnsi" w:cstheme="minorBidi"/>
          <w:kern w:val="0"/>
          <w:sz w:val="36"/>
          <w:szCs w:val="36"/>
          <w:lang w:eastAsia="it-IT"/>
          <w14:ligatures w14:val="none"/>
        </w:rPr>
      </w:pPr>
      <w:r w:rsidRPr="00C814F1">
        <w:rPr>
          <w:rFonts w:asciiTheme="minorHAnsi" w:hAnsiTheme="minorHAnsi" w:cstheme="minorBidi"/>
        </w:rPr>
        <w:t>Slide 16 — Il cortocircuito del valore d’uso</w:t>
      </w:r>
    </w:p>
    <w:p w14:paraId="3C6F0D89" w14:textId="77777777" w:rsidR="00362F98" w:rsidRPr="00C814F1" w:rsidRDefault="00362F98" w:rsidP="00362F98">
      <w:pPr>
        <w:pStyle w:val="Paragrafoelenco"/>
        <w:numPr>
          <w:ilvl w:val="0"/>
          <w:numId w:val="19"/>
        </w:numPr>
        <w:rPr>
          <w:kern w:val="0"/>
          <w:sz w:val="20"/>
          <w:szCs w:val="20"/>
          <w:lang w:eastAsia="it-IT"/>
          <w14:ligatures w14:val="none"/>
        </w:rPr>
      </w:pPr>
      <w:r w:rsidRPr="00C814F1">
        <w:rPr>
          <w:sz w:val="20"/>
          <w:szCs w:val="20"/>
        </w:rPr>
        <w:t>Il valore d’uso è richiamato per stimare il valore effettivo.</w:t>
      </w:r>
    </w:p>
    <w:p w14:paraId="0B671957" w14:textId="77777777" w:rsidR="00362F98" w:rsidRPr="00C814F1" w:rsidRDefault="00362F98" w:rsidP="00362F98">
      <w:pPr>
        <w:pStyle w:val="Paragrafoelenco"/>
        <w:numPr>
          <w:ilvl w:val="0"/>
          <w:numId w:val="19"/>
        </w:numPr>
        <w:rPr>
          <w:sz w:val="20"/>
          <w:szCs w:val="20"/>
        </w:rPr>
      </w:pPr>
      <w:r w:rsidRPr="00C814F1">
        <w:rPr>
          <w:sz w:val="20"/>
          <w:szCs w:val="20"/>
        </w:rPr>
        <w:t>Il piano di ristrutturazione si fonda però su miglioramenti futuri.</w:t>
      </w:r>
    </w:p>
    <w:p w14:paraId="0D43DD8C" w14:textId="77777777" w:rsidR="00362F98" w:rsidRPr="00C814F1" w:rsidRDefault="00362F98" w:rsidP="00362F98">
      <w:pPr>
        <w:pStyle w:val="Paragrafoelenco"/>
        <w:numPr>
          <w:ilvl w:val="0"/>
          <w:numId w:val="19"/>
        </w:numPr>
        <w:rPr>
          <w:sz w:val="20"/>
          <w:szCs w:val="20"/>
        </w:rPr>
      </w:pPr>
      <w:r w:rsidRPr="00C814F1">
        <w:rPr>
          <w:sz w:val="20"/>
          <w:szCs w:val="20"/>
        </w:rPr>
        <w:lastRenderedPageBreak/>
        <w:t>La stima richiede proiezioni oltre il piano.</w:t>
      </w:r>
    </w:p>
    <w:p w14:paraId="7F970D83" w14:textId="77777777" w:rsidR="00362F98" w:rsidRPr="00C814F1" w:rsidRDefault="00362F98" w:rsidP="00362F98">
      <w:pPr>
        <w:pStyle w:val="Paragrafoelenco"/>
        <w:numPr>
          <w:ilvl w:val="0"/>
          <w:numId w:val="19"/>
        </w:numPr>
        <w:rPr>
          <w:sz w:val="20"/>
          <w:szCs w:val="20"/>
        </w:rPr>
      </w:pPr>
      <w:r w:rsidRPr="00C814F1">
        <w:rPr>
          <w:sz w:val="20"/>
          <w:szCs w:val="20"/>
        </w:rPr>
        <w:t>Rischio di conflitto tra impostazione contabile e logica della ristrutturazione.</w:t>
      </w:r>
    </w:p>
    <w:p w14:paraId="60EE49A2" w14:textId="77777777" w:rsidR="00362F98" w:rsidRPr="00C814F1" w:rsidRDefault="00362F98" w:rsidP="00362F98">
      <w:pPr>
        <w:pStyle w:val="Paragrafoelenco"/>
        <w:numPr>
          <w:ilvl w:val="0"/>
          <w:numId w:val="19"/>
        </w:numPr>
        <w:rPr>
          <w:sz w:val="20"/>
          <w:szCs w:val="20"/>
        </w:rPr>
      </w:pPr>
      <w:r w:rsidRPr="00C814F1">
        <w:rPr>
          <w:sz w:val="20"/>
          <w:szCs w:val="20"/>
        </w:rPr>
        <w:t>Effetto pratico: incertezza ex ante e conflitto peritale ex post.</w:t>
      </w:r>
    </w:p>
    <w:p w14:paraId="41BBCC89" w14:textId="77777777" w:rsidR="00362F98" w:rsidRPr="00C814F1" w:rsidRDefault="00362F98">
      <w:pPr>
        <w:pStyle w:val="Titolo2"/>
        <w:rPr>
          <w:rFonts w:asciiTheme="minorHAnsi" w:hAnsiTheme="minorHAnsi" w:cstheme="minorBidi"/>
          <w:kern w:val="0"/>
          <w:sz w:val="36"/>
          <w:szCs w:val="36"/>
          <w:lang w:eastAsia="it-IT"/>
          <w14:ligatures w14:val="none"/>
        </w:rPr>
      </w:pPr>
      <w:r w:rsidRPr="00C814F1">
        <w:rPr>
          <w:rFonts w:asciiTheme="minorHAnsi" w:hAnsiTheme="minorHAnsi" w:cstheme="minorBidi"/>
        </w:rPr>
        <w:t>Slide 17 — Il valore apportato dai soci</w:t>
      </w:r>
    </w:p>
    <w:p w14:paraId="2801D244" w14:textId="77777777" w:rsidR="00362F98" w:rsidRPr="00C814F1" w:rsidRDefault="00362F98" w:rsidP="00362F98">
      <w:pPr>
        <w:pStyle w:val="Paragrafoelenco"/>
        <w:numPr>
          <w:ilvl w:val="0"/>
          <w:numId w:val="20"/>
        </w:numPr>
        <w:rPr>
          <w:kern w:val="0"/>
          <w:sz w:val="20"/>
          <w:szCs w:val="20"/>
          <w:lang w:eastAsia="it-IT"/>
          <w14:ligatures w14:val="none"/>
        </w:rPr>
      </w:pPr>
      <w:r w:rsidRPr="00C814F1">
        <w:rPr>
          <w:sz w:val="20"/>
          <w:szCs w:val="20"/>
        </w:rPr>
        <w:t>Conferimenti.</w:t>
      </w:r>
    </w:p>
    <w:p w14:paraId="68EC34B2" w14:textId="77777777" w:rsidR="00362F98" w:rsidRPr="00C814F1" w:rsidRDefault="00362F98" w:rsidP="00362F98">
      <w:pPr>
        <w:pStyle w:val="Paragrafoelenco"/>
        <w:numPr>
          <w:ilvl w:val="0"/>
          <w:numId w:val="20"/>
        </w:numPr>
        <w:rPr>
          <w:sz w:val="20"/>
          <w:szCs w:val="20"/>
        </w:rPr>
      </w:pPr>
      <w:r w:rsidRPr="00C814F1">
        <w:rPr>
          <w:sz w:val="20"/>
          <w:szCs w:val="20"/>
        </w:rPr>
        <w:t>Versamenti a fondo perduto.</w:t>
      </w:r>
    </w:p>
    <w:p w14:paraId="48AE8122" w14:textId="77777777" w:rsidR="00362F98" w:rsidRPr="00C814F1" w:rsidRDefault="00362F98" w:rsidP="00362F98">
      <w:pPr>
        <w:pStyle w:val="Paragrafoelenco"/>
        <w:numPr>
          <w:ilvl w:val="0"/>
          <w:numId w:val="20"/>
        </w:numPr>
        <w:rPr>
          <w:sz w:val="20"/>
          <w:szCs w:val="20"/>
        </w:rPr>
      </w:pPr>
      <w:r w:rsidRPr="00C814F1">
        <w:rPr>
          <w:sz w:val="20"/>
          <w:szCs w:val="20"/>
        </w:rPr>
        <w:t>Apporti “in altra forma” per imprese sotto soglia.</w:t>
      </w:r>
    </w:p>
    <w:p w14:paraId="699CC17A" w14:textId="77777777" w:rsidR="00362F98" w:rsidRPr="00C814F1" w:rsidRDefault="00362F98" w:rsidP="00362F98">
      <w:pPr>
        <w:pStyle w:val="Paragrafoelenco"/>
        <w:numPr>
          <w:ilvl w:val="0"/>
          <w:numId w:val="20"/>
        </w:numPr>
        <w:rPr>
          <w:sz w:val="20"/>
          <w:szCs w:val="20"/>
        </w:rPr>
      </w:pPr>
      <w:r w:rsidRPr="00C814F1">
        <w:rPr>
          <w:sz w:val="20"/>
          <w:szCs w:val="20"/>
        </w:rPr>
        <w:t>Dubbi su conversione di crediti dei soci.</w:t>
      </w:r>
    </w:p>
    <w:p w14:paraId="3DB75424" w14:textId="77777777" w:rsidR="00362F98" w:rsidRPr="00C814F1" w:rsidRDefault="00362F98" w:rsidP="00362F98">
      <w:pPr>
        <w:pStyle w:val="Paragrafoelenco"/>
        <w:numPr>
          <w:ilvl w:val="0"/>
          <w:numId w:val="20"/>
        </w:numPr>
        <w:rPr>
          <w:sz w:val="20"/>
          <w:szCs w:val="20"/>
        </w:rPr>
      </w:pPr>
      <w:r w:rsidRPr="00C814F1">
        <w:rPr>
          <w:sz w:val="20"/>
          <w:szCs w:val="20"/>
        </w:rPr>
        <w:t>Dubbi sui finanziamenti soci non rinunciati.</w:t>
      </w:r>
    </w:p>
    <w:p w14:paraId="3D23B55B" w14:textId="77777777" w:rsidR="00362F98" w:rsidRPr="00C814F1" w:rsidRDefault="00362F98" w:rsidP="00362F98">
      <w:pPr>
        <w:pStyle w:val="Paragrafoelenco"/>
        <w:numPr>
          <w:ilvl w:val="0"/>
          <w:numId w:val="20"/>
        </w:numPr>
        <w:rPr>
          <w:sz w:val="20"/>
          <w:szCs w:val="20"/>
        </w:rPr>
      </w:pPr>
      <w:r w:rsidRPr="00C814F1">
        <w:rPr>
          <w:sz w:val="20"/>
          <w:szCs w:val="20"/>
        </w:rPr>
        <w:t>Dubbi sui finanziamenti soci prededucibili.</w:t>
      </w:r>
    </w:p>
    <w:p w14:paraId="0500279E" w14:textId="77777777" w:rsidR="00362F98" w:rsidRPr="00C814F1" w:rsidRDefault="00362F98">
      <w:pPr>
        <w:pStyle w:val="Titolo2"/>
        <w:rPr>
          <w:rFonts w:asciiTheme="minorHAnsi" w:hAnsiTheme="minorHAnsi" w:cstheme="minorBidi"/>
          <w:kern w:val="0"/>
          <w:sz w:val="36"/>
          <w:szCs w:val="36"/>
          <w:lang w:eastAsia="it-IT"/>
          <w14:ligatures w14:val="none"/>
        </w:rPr>
      </w:pPr>
      <w:r w:rsidRPr="00C814F1">
        <w:rPr>
          <w:rFonts w:asciiTheme="minorHAnsi" w:hAnsiTheme="minorHAnsi" w:cstheme="minorBidi"/>
        </w:rPr>
        <w:t>Slide 18 — La prova di resistenza</w:t>
      </w:r>
    </w:p>
    <w:p w14:paraId="3907B13C" w14:textId="77777777" w:rsidR="00362F98" w:rsidRPr="00C814F1" w:rsidRDefault="00362F98" w:rsidP="00362F98">
      <w:pPr>
        <w:pStyle w:val="Paragrafoelenco"/>
        <w:numPr>
          <w:ilvl w:val="0"/>
          <w:numId w:val="21"/>
        </w:numPr>
        <w:rPr>
          <w:kern w:val="0"/>
          <w:sz w:val="20"/>
          <w:szCs w:val="20"/>
          <w:lang w:eastAsia="it-IT"/>
          <w14:ligatures w14:val="none"/>
        </w:rPr>
      </w:pPr>
      <w:r w:rsidRPr="00C814F1">
        <w:rPr>
          <w:sz w:val="20"/>
          <w:szCs w:val="20"/>
        </w:rPr>
        <w:t>Una volta individuato il valore riservato ai soci, occorre verificare l’omologabilità nonostante il dissenso.</w:t>
      </w:r>
    </w:p>
    <w:p w14:paraId="7727131A" w14:textId="77777777" w:rsidR="00362F98" w:rsidRPr="00C814F1" w:rsidRDefault="00362F98" w:rsidP="00362F98">
      <w:pPr>
        <w:pStyle w:val="Paragrafoelenco"/>
        <w:numPr>
          <w:ilvl w:val="0"/>
          <w:numId w:val="21"/>
        </w:numPr>
        <w:rPr>
          <w:sz w:val="20"/>
          <w:szCs w:val="20"/>
        </w:rPr>
      </w:pPr>
      <w:r w:rsidRPr="00C814F1">
        <w:rPr>
          <w:sz w:val="20"/>
          <w:szCs w:val="20"/>
        </w:rPr>
        <w:t>Prima ipotesi: dissenso di classi non infime o di pari grado.</w:t>
      </w:r>
    </w:p>
    <w:p w14:paraId="3114B126" w14:textId="77777777" w:rsidR="00362F98" w:rsidRPr="00C814F1" w:rsidRDefault="00362F98" w:rsidP="00362F98">
      <w:pPr>
        <w:pStyle w:val="Paragrafoelenco"/>
        <w:numPr>
          <w:ilvl w:val="0"/>
          <w:numId w:val="21"/>
        </w:numPr>
        <w:rPr>
          <w:sz w:val="20"/>
          <w:szCs w:val="20"/>
        </w:rPr>
      </w:pPr>
      <w:r w:rsidRPr="00C814F1">
        <w:rPr>
          <w:sz w:val="20"/>
          <w:szCs w:val="20"/>
        </w:rPr>
        <w:t>Seconda ipotesi: dissenso dell’unica classe di ultimo grado.</w:t>
      </w:r>
    </w:p>
    <w:p w14:paraId="01DCDD71" w14:textId="77777777" w:rsidR="00362F98" w:rsidRPr="00C814F1" w:rsidRDefault="00362F98" w:rsidP="00362F98">
      <w:pPr>
        <w:pStyle w:val="Paragrafoelenco"/>
        <w:numPr>
          <w:ilvl w:val="0"/>
          <w:numId w:val="21"/>
        </w:numPr>
        <w:rPr>
          <w:sz w:val="20"/>
          <w:szCs w:val="20"/>
        </w:rPr>
      </w:pPr>
      <w:r w:rsidRPr="00C814F1">
        <w:rPr>
          <w:sz w:val="20"/>
          <w:szCs w:val="20"/>
        </w:rPr>
        <w:t>Funzione: controllare se il valore lasciato ai soci incide indebitamente sui creditori dissenzienti.</w:t>
      </w:r>
    </w:p>
    <w:p w14:paraId="581E8897" w14:textId="77777777" w:rsidR="00362F98" w:rsidRPr="00C814F1" w:rsidRDefault="00362F98">
      <w:pPr>
        <w:pStyle w:val="Titolo2"/>
        <w:rPr>
          <w:rFonts w:asciiTheme="minorHAnsi" w:hAnsiTheme="minorHAnsi" w:cstheme="minorBidi"/>
          <w:kern w:val="0"/>
          <w:sz w:val="36"/>
          <w:szCs w:val="36"/>
          <w:lang w:eastAsia="it-IT"/>
          <w14:ligatures w14:val="none"/>
        </w:rPr>
      </w:pPr>
      <w:r w:rsidRPr="00C814F1">
        <w:rPr>
          <w:rFonts w:asciiTheme="minorHAnsi" w:hAnsiTheme="minorHAnsi" w:cstheme="minorBidi"/>
        </w:rPr>
        <w:t>Slide 19 — Classi non infime o di pari grado</w:t>
      </w:r>
    </w:p>
    <w:p w14:paraId="274BA75F" w14:textId="77777777" w:rsidR="00362F98" w:rsidRPr="00C814F1" w:rsidRDefault="00362F98" w:rsidP="00362F98">
      <w:pPr>
        <w:pStyle w:val="Paragrafoelenco"/>
        <w:numPr>
          <w:ilvl w:val="0"/>
          <w:numId w:val="22"/>
        </w:numPr>
        <w:rPr>
          <w:kern w:val="0"/>
          <w:sz w:val="20"/>
          <w:szCs w:val="20"/>
          <w:lang w:eastAsia="it-IT"/>
          <w14:ligatures w14:val="none"/>
        </w:rPr>
      </w:pPr>
      <w:r w:rsidRPr="00C814F1">
        <w:rPr>
          <w:sz w:val="20"/>
          <w:szCs w:val="20"/>
        </w:rPr>
        <w:t>Si immagina che il valore riservato ai soci venga riallocato alle classi assenzienti di pari o inferiore grado.</w:t>
      </w:r>
    </w:p>
    <w:p w14:paraId="1C60B0B8" w14:textId="77777777" w:rsidR="00362F98" w:rsidRPr="00C814F1" w:rsidRDefault="00362F98" w:rsidP="00362F98">
      <w:pPr>
        <w:pStyle w:val="Paragrafoelenco"/>
        <w:numPr>
          <w:ilvl w:val="0"/>
          <w:numId w:val="22"/>
        </w:numPr>
        <w:rPr>
          <w:sz w:val="20"/>
          <w:szCs w:val="20"/>
        </w:rPr>
      </w:pPr>
      <w:r w:rsidRPr="00C814F1">
        <w:rPr>
          <w:sz w:val="20"/>
          <w:szCs w:val="20"/>
        </w:rPr>
        <w:t>Si verifica se la classe dissenziente resterebbe trattata in modo almeno altrettanto favorevole.</w:t>
      </w:r>
    </w:p>
    <w:p w14:paraId="44684814" w14:textId="77777777" w:rsidR="00362F98" w:rsidRPr="00C814F1" w:rsidRDefault="00362F98" w:rsidP="00362F98">
      <w:pPr>
        <w:pStyle w:val="Paragrafoelenco"/>
        <w:numPr>
          <w:ilvl w:val="0"/>
          <w:numId w:val="22"/>
        </w:numPr>
        <w:rPr>
          <w:sz w:val="20"/>
          <w:szCs w:val="20"/>
        </w:rPr>
      </w:pPr>
      <w:r w:rsidRPr="00C814F1">
        <w:rPr>
          <w:sz w:val="20"/>
          <w:szCs w:val="20"/>
        </w:rPr>
        <w:t>La norma non indica il criterio di redistribuzione.</w:t>
      </w:r>
    </w:p>
    <w:p w14:paraId="6FA1FACF" w14:textId="77777777" w:rsidR="00362F98" w:rsidRPr="00C814F1" w:rsidRDefault="00362F98" w:rsidP="00362F98">
      <w:pPr>
        <w:pStyle w:val="Paragrafoelenco"/>
        <w:numPr>
          <w:ilvl w:val="0"/>
          <w:numId w:val="22"/>
        </w:numPr>
        <w:rPr>
          <w:sz w:val="20"/>
          <w:szCs w:val="20"/>
        </w:rPr>
      </w:pPr>
      <w:r w:rsidRPr="00C814F1">
        <w:rPr>
          <w:sz w:val="20"/>
          <w:szCs w:val="20"/>
        </w:rPr>
        <w:t>Applicare rigidamente l’Absolute Priority Rule può rendere la norma paralizzante.</w:t>
      </w:r>
    </w:p>
    <w:p w14:paraId="341FC558" w14:textId="77777777" w:rsidR="00362F98" w:rsidRPr="00C814F1" w:rsidRDefault="00362F98" w:rsidP="00362F98">
      <w:pPr>
        <w:pStyle w:val="Paragrafoelenco"/>
        <w:numPr>
          <w:ilvl w:val="0"/>
          <w:numId w:val="22"/>
        </w:numPr>
        <w:rPr>
          <w:sz w:val="20"/>
          <w:szCs w:val="20"/>
        </w:rPr>
      </w:pPr>
      <w:r w:rsidRPr="00C814F1">
        <w:rPr>
          <w:sz w:val="20"/>
          <w:szCs w:val="20"/>
        </w:rPr>
        <w:t>Soluzione preferibile: verifica di una riallocazione compatibile con la priorità relativa.</w:t>
      </w:r>
    </w:p>
    <w:p w14:paraId="4A458771" w14:textId="77777777" w:rsidR="00362F98" w:rsidRPr="00C814F1" w:rsidRDefault="00362F98">
      <w:pPr>
        <w:pStyle w:val="Titolo2"/>
        <w:rPr>
          <w:rFonts w:asciiTheme="minorHAnsi" w:hAnsiTheme="minorHAnsi" w:cstheme="minorBidi"/>
          <w:kern w:val="0"/>
          <w:sz w:val="36"/>
          <w:szCs w:val="36"/>
          <w:lang w:eastAsia="it-IT"/>
          <w14:ligatures w14:val="none"/>
        </w:rPr>
      </w:pPr>
      <w:r w:rsidRPr="00C814F1">
        <w:rPr>
          <w:rFonts w:asciiTheme="minorHAnsi" w:hAnsiTheme="minorHAnsi" w:cstheme="minorBidi"/>
        </w:rPr>
        <w:t>Slide 20 — Unica classe infima dissenziente</w:t>
      </w:r>
    </w:p>
    <w:p w14:paraId="1C8C09DD" w14:textId="77777777" w:rsidR="00362F98" w:rsidRPr="00C814F1" w:rsidRDefault="00362F98" w:rsidP="00362F98">
      <w:pPr>
        <w:pStyle w:val="Paragrafoelenco"/>
        <w:numPr>
          <w:ilvl w:val="0"/>
          <w:numId w:val="23"/>
        </w:numPr>
        <w:rPr>
          <w:kern w:val="0"/>
          <w:sz w:val="20"/>
          <w:szCs w:val="20"/>
          <w:lang w:eastAsia="it-IT"/>
          <w14:ligatures w14:val="none"/>
        </w:rPr>
      </w:pPr>
      <w:r w:rsidRPr="00C814F1">
        <w:rPr>
          <w:sz w:val="20"/>
          <w:szCs w:val="20"/>
        </w:rPr>
        <w:t>Se dissente l’unica classe di ultimo grado, non vi è simulazione distributiva.</w:t>
      </w:r>
    </w:p>
    <w:p w14:paraId="436330B0" w14:textId="77777777" w:rsidR="00362F98" w:rsidRPr="00C814F1" w:rsidRDefault="00362F98" w:rsidP="00362F98">
      <w:pPr>
        <w:pStyle w:val="Paragrafoelenco"/>
        <w:numPr>
          <w:ilvl w:val="0"/>
          <w:numId w:val="23"/>
        </w:numPr>
        <w:rPr>
          <w:sz w:val="20"/>
          <w:szCs w:val="20"/>
        </w:rPr>
      </w:pPr>
      <w:r w:rsidRPr="00C814F1">
        <w:rPr>
          <w:sz w:val="20"/>
          <w:szCs w:val="20"/>
        </w:rPr>
        <w:t>Si confrontano due valori: valore destinato alla classe dissenziente e valore complessivamente riservato ai soci.</w:t>
      </w:r>
    </w:p>
    <w:p w14:paraId="4F4F9BC4" w14:textId="77777777" w:rsidR="00362F98" w:rsidRPr="00C814F1" w:rsidRDefault="00362F98" w:rsidP="00362F98">
      <w:pPr>
        <w:pStyle w:val="Paragrafoelenco"/>
        <w:numPr>
          <w:ilvl w:val="0"/>
          <w:numId w:val="23"/>
        </w:numPr>
        <w:rPr>
          <w:sz w:val="20"/>
          <w:szCs w:val="20"/>
        </w:rPr>
      </w:pPr>
      <w:r w:rsidRPr="00C814F1">
        <w:rPr>
          <w:sz w:val="20"/>
          <w:szCs w:val="20"/>
        </w:rPr>
        <w:t>Il concordato è omologabile solo se il primo è superiore al secondo.</w:t>
      </w:r>
    </w:p>
    <w:p w14:paraId="3C178126" w14:textId="77777777" w:rsidR="00362F98" w:rsidRPr="00C814F1" w:rsidRDefault="00362F98" w:rsidP="00362F98">
      <w:pPr>
        <w:pStyle w:val="Paragrafoelenco"/>
        <w:numPr>
          <w:ilvl w:val="0"/>
          <w:numId w:val="23"/>
        </w:numPr>
        <w:rPr>
          <w:sz w:val="20"/>
          <w:szCs w:val="20"/>
        </w:rPr>
      </w:pPr>
      <w:r w:rsidRPr="00C814F1">
        <w:rPr>
          <w:sz w:val="20"/>
          <w:szCs w:val="20"/>
        </w:rPr>
        <w:t>Criticità: i soci possono ricevere un valore quasi pari a quello della classe infima dissenziente.</w:t>
      </w:r>
    </w:p>
    <w:p w14:paraId="5C37B812" w14:textId="77777777" w:rsidR="00362F98" w:rsidRPr="00C814F1" w:rsidRDefault="00362F98">
      <w:pPr>
        <w:pStyle w:val="Titolo2"/>
        <w:rPr>
          <w:rFonts w:asciiTheme="minorHAnsi" w:hAnsiTheme="minorHAnsi" w:cstheme="minorBidi"/>
          <w:kern w:val="0"/>
          <w:sz w:val="36"/>
          <w:szCs w:val="36"/>
          <w:lang w:eastAsia="it-IT"/>
          <w14:ligatures w14:val="none"/>
        </w:rPr>
      </w:pPr>
      <w:r w:rsidRPr="00C814F1">
        <w:rPr>
          <w:rFonts w:asciiTheme="minorHAnsi" w:hAnsiTheme="minorHAnsi" w:cstheme="minorBidi"/>
        </w:rPr>
        <w:t>Slide 21 — Valore di liquidazione, eccedenza e ristrutturazione</w:t>
      </w:r>
    </w:p>
    <w:p w14:paraId="01FD1C0E" w14:textId="77777777" w:rsidR="00362F98" w:rsidRPr="00C814F1" w:rsidRDefault="00362F98" w:rsidP="00362F98">
      <w:pPr>
        <w:pStyle w:val="Paragrafoelenco"/>
        <w:numPr>
          <w:ilvl w:val="0"/>
          <w:numId w:val="24"/>
        </w:numPr>
        <w:rPr>
          <w:kern w:val="0"/>
          <w:sz w:val="20"/>
          <w:szCs w:val="20"/>
          <w:lang w:eastAsia="it-IT"/>
          <w14:ligatures w14:val="none"/>
        </w:rPr>
      </w:pPr>
      <w:r w:rsidRPr="00C814F1">
        <w:rPr>
          <w:sz w:val="20"/>
          <w:szCs w:val="20"/>
        </w:rPr>
        <w:t>Valore di liquidazione: ciò che i creditori otterrebbero nell’alternativa liquidatoria.</w:t>
      </w:r>
    </w:p>
    <w:p w14:paraId="662A0081" w14:textId="77777777" w:rsidR="00362F98" w:rsidRPr="00C814F1" w:rsidRDefault="00362F98" w:rsidP="00362F98">
      <w:pPr>
        <w:pStyle w:val="Paragrafoelenco"/>
        <w:numPr>
          <w:ilvl w:val="0"/>
          <w:numId w:val="24"/>
        </w:numPr>
        <w:rPr>
          <w:sz w:val="20"/>
          <w:szCs w:val="20"/>
        </w:rPr>
      </w:pPr>
      <w:r w:rsidRPr="00C814F1">
        <w:rPr>
          <w:sz w:val="20"/>
          <w:szCs w:val="20"/>
        </w:rPr>
        <w:t>Valore eccedente la liquidazione: provvista concordataria aggiuntiva destinata ai creditori.</w:t>
      </w:r>
    </w:p>
    <w:p w14:paraId="74623046" w14:textId="77777777" w:rsidR="00362F98" w:rsidRPr="00C814F1" w:rsidRDefault="00362F98" w:rsidP="00362F98">
      <w:pPr>
        <w:pStyle w:val="Paragrafoelenco"/>
        <w:numPr>
          <w:ilvl w:val="0"/>
          <w:numId w:val="24"/>
        </w:numPr>
        <w:rPr>
          <w:sz w:val="20"/>
          <w:szCs w:val="20"/>
        </w:rPr>
      </w:pPr>
      <w:r w:rsidRPr="00C814F1">
        <w:rPr>
          <w:sz w:val="20"/>
          <w:szCs w:val="20"/>
        </w:rPr>
        <w:t>Valore di ristrutturazione: valore complessivo dell’impresa risanata, anche oltre l’orizzonte del piano.</w:t>
      </w:r>
    </w:p>
    <w:p w14:paraId="75E2F559" w14:textId="77777777" w:rsidR="00362F98" w:rsidRPr="00C814F1" w:rsidRDefault="00362F98" w:rsidP="00362F98">
      <w:pPr>
        <w:pStyle w:val="Paragrafoelenco"/>
        <w:numPr>
          <w:ilvl w:val="0"/>
          <w:numId w:val="24"/>
        </w:numPr>
        <w:rPr>
          <w:sz w:val="20"/>
          <w:szCs w:val="20"/>
        </w:rPr>
      </w:pPr>
      <w:r w:rsidRPr="00C814F1">
        <w:rPr>
          <w:sz w:val="20"/>
          <w:szCs w:val="20"/>
        </w:rPr>
        <w:t>Non tutto il valore di ristrutturazione diventa necessariamente provvista concordataria.</w:t>
      </w:r>
    </w:p>
    <w:p w14:paraId="049C01F5" w14:textId="77777777" w:rsidR="00362F98" w:rsidRPr="00C814F1" w:rsidRDefault="00362F98">
      <w:pPr>
        <w:pStyle w:val="Titolo2"/>
        <w:rPr>
          <w:rFonts w:asciiTheme="minorHAnsi" w:hAnsiTheme="minorHAnsi" w:cstheme="minorBidi"/>
          <w:kern w:val="0"/>
          <w:sz w:val="36"/>
          <w:szCs w:val="36"/>
          <w:lang w:eastAsia="it-IT"/>
          <w14:ligatures w14:val="none"/>
        </w:rPr>
      </w:pPr>
      <w:r w:rsidRPr="00C814F1">
        <w:rPr>
          <w:rFonts w:asciiTheme="minorHAnsi" w:hAnsiTheme="minorHAnsi" w:cstheme="minorBidi"/>
        </w:rPr>
        <w:t>Slide 22 — Postergazione non assoluta dei soci</w:t>
      </w:r>
    </w:p>
    <w:p w14:paraId="2AEAF0A7" w14:textId="77777777" w:rsidR="00362F98" w:rsidRPr="00C814F1" w:rsidRDefault="00362F98" w:rsidP="00362F98">
      <w:pPr>
        <w:pStyle w:val="Paragrafoelenco"/>
        <w:numPr>
          <w:ilvl w:val="0"/>
          <w:numId w:val="25"/>
        </w:numPr>
        <w:rPr>
          <w:kern w:val="0"/>
          <w:sz w:val="20"/>
          <w:szCs w:val="20"/>
          <w:lang w:eastAsia="it-IT"/>
          <w14:ligatures w14:val="none"/>
        </w:rPr>
      </w:pPr>
      <w:r w:rsidRPr="00C814F1">
        <w:rPr>
          <w:sz w:val="20"/>
          <w:szCs w:val="20"/>
        </w:rPr>
        <w:t>I soci non sono sempre rigidamente subordinati ai creditori.</w:t>
      </w:r>
    </w:p>
    <w:p w14:paraId="121EF875" w14:textId="77777777" w:rsidR="00362F98" w:rsidRPr="00C814F1" w:rsidRDefault="00362F98" w:rsidP="00362F98">
      <w:pPr>
        <w:pStyle w:val="Paragrafoelenco"/>
        <w:numPr>
          <w:ilvl w:val="0"/>
          <w:numId w:val="25"/>
        </w:numPr>
        <w:rPr>
          <w:sz w:val="20"/>
          <w:szCs w:val="20"/>
        </w:rPr>
      </w:pPr>
      <w:r w:rsidRPr="00C814F1">
        <w:rPr>
          <w:sz w:val="20"/>
          <w:szCs w:val="20"/>
        </w:rPr>
        <w:t>La postergazione assoluta opera sul valore di liquidazione.</w:t>
      </w:r>
    </w:p>
    <w:p w14:paraId="492E6669" w14:textId="77777777" w:rsidR="00362F98" w:rsidRPr="00C814F1" w:rsidRDefault="00362F98" w:rsidP="00362F98">
      <w:pPr>
        <w:pStyle w:val="Paragrafoelenco"/>
        <w:numPr>
          <w:ilvl w:val="0"/>
          <w:numId w:val="25"/>
        </w:numPr>
        <w:rPr>
          <w:sz w:val="20"/>
          <w:szCs w:val="20"/>
        </w:rPr>
      </w:pPr>
      <w:r w:rsidRPr="00C814F1">
        <w:rPr>
          <w:sz w:val="20"/>
          <w:szCs w:val="20"/>
        </w:rPr>
        <w:t>Non opera necessariamente sull’intero valore futuro dell’impresa risanata.</w:t>
      </w:r>
    </w:p>
    <w:p w14:paraId="141BB60B" w14:textId="77777777" w:rsidR="00362F98" w:rsidRPr="00C814F1" w:rsidRDefault="00362F98" w:rsidP="00362F98">
      <w:pPr>
        <w:pStyle w:val="Paragrafoelenco"/>
        <w:numPr>
          <w:ilvl w:val="0"/>
          <w:numId w:val="25"/>
        </w:numPr>
        <w:rPr>
          <w:sz w:val="20"/>
          <w:szCs w:val="20"/>
        </w:rPr>
      </w:pPr>
      <w:r w:rsidRPr="00C814F1">
        <w:rPr>
          <w:sz w:val="20"/>
          <w:szCs w:val="20"/>
        </w:rPr>
        <w:t>La disciplina dell’infima classe dissenziente conferma che non vi è una Absolute Priority Rule piena tra creditori e soci.</w:t>
      </w:r>
    </w:p>
    <w:p w14:paraId="06238D0E" w14:textId="77777777" w:rsidR="00362F98" w:rsidRPr="00C814F1" w:rsidRDefault="00362F98" w:rsidP="00362F98">
      <w:pPr>
        <w:pStyle w:val="Paragrafoelenco"/>
        <w:numPr>
          <w:ilvl w:val="0"/>
          <w:numId w:val="25"/>
        </w:numPr>
        <w:rPr>
          <w:sz w:val="20"/>
          <w:szCs w:val="20"/>
        </w:rPr>
      </w:pPr>
      <w:r w:rsidRPr="00C814F1">
        <w:rPr>
          <w:sz w:val="20"/>
          <w:szCs w:val="20"/>
        </w:rPr>
        <w:t>I soci possono restare nel valore, ma a condizioni controllate.</w:t>
      </w:r>
    </w:p>
    <w:p w14:paraId="662A2DCB" w14:textId="77777777" w:rsidR="00362F98" w:rsidRPr="00C814F1" w:rsidRDefault="00362F98">
      <w:pPr>
        <w:pStyle w:val="Titolo2"/>
        <w:rPr>
          <w:rFonts w:asciiTheme="minorHAnsi" w:hAnsiTheme="minorHAnsi" w:cstheme="minorBidi"/>
          <w:kern w:val="0"/>
          <w:sz w:val="36"/>
          <w:szCs w:val="36"/>
          <w:lang w:eastAsia="it-IT"/>
          <w14:ligatures w14:val="none"/>
        </w:rPr>
      </w:pPr>
      <w:r w:rsidRPr="00C814F1">
        <w:rPr>
          <w:rFonts w:asciiTheme="minorHAnsi" w:hAnsiTheme="minorHAnsi" w:cstheme="minorBidi"/>
        </w:rPr>
        <w:t>Slide 23 — L’art. 120-quater non è una vera regola distributiva</w:t>
      </w:r>
    </w:p>
    <w:p w14:paraId="61C61A56" w14:textId="77777777" w:rsidR="00362F98" w:rsidRPr="00C814F1" w:rsidRDefault="00362F98" w:rsidP="00362F98">
      <w:pPr>
        <w:pStyle w:val="Paragrafoelenco"/>
        <w:numPr>
          <w:ilvl w:val="0"/>
          <w:numId w:val="26"/>
        </w:numPr>
        <w:rPr>
          <w:kern w:val="0"/>
          <w:sz w:val="20"/>
          <w:szCs w:val="20"/>
          <w:lang w:eastAsia="it-IT"/>
          <w14:ligatures w14:val="none"/>
        </w:rPr>
      </w:pPr>
      <w:r w:rsidRPr="00C814F1">
        <w:rPr>
          <w:sz w:val="20"/>
          <w:szCs w:val="20"/>
        </w:rPr>
        <w:t>Non stabilisce ex ante come ripartire il valore tra creditori e soci.</w:t>
      </w:r>
    </w:p>
    <w:p w14:paraId="07ED46FD" w14:textId="77777777" w:rsidR="00362F98" w:rsidRPr="00C814F1" w:rsidRDefault="00362F98" w:rsidP="00362F98">
      <w:pPr>
        <w:pStyle w:val="Paragrafoelenco"/>
        <w:numPr>
          <w:ilvl w:val="0"/>
          <w:numId w:val="26"/>
        </w:numPr>
        <w:rPr>
          <w:sz w:val="20"/>
          <w:szCs w:val="20"/>
        </w:rPr>
      </w:pPr>
      <w:r w:rsidRPr="00C814F1">
        <w:rPr>
          <w:sz w:val="20"/>
          <w:szCs w:val="20"/>
        </w:rPr>
        <w:t>Opera come condizione speciale di omologazione.</w:t>
      </w:r>
    </w:p>
    <w:p w14:paraId="34C9010C" w14:textId="77777777" w:rsidR="00362F98" w:rsidRPr="00C814F1" w:rsidRDefault="00362F98" w:rsidP="00362F98">
      <w:pPr>
        <w:pStyle w:val="Paragrafoelenco"/>
        <w:numPr>
          <w:ilvl w:val="0"/>
          <w:numId w:val="26"/>
        </w:numPr>
        <w:rPr>
          <w:sz w:val="20"/>
          <w:szCs w:val="20"/>
        </w:rPr>
      </w:pPr>
      <w:r w:rsidRPr="00C814F1">
        <w:rPr>
          <w:sz w:val="20"/>
          <w:szCs w:val="20"/>
        </w:rPr>
        <w:t>Presupposto 1: attribuzioni ai soci anteriori.</w:t>
      </w:r>
    </w:p>
    <w:p w14:paraId="1E39F87C" w14:textId="77777777" w:rsidR="00362F98" w:rsidRPr="00C814F1" w:rsidRDefault="00362F98" w:rsidP="00362F98">
      <w:pPr>
        <w:pStyle w:val="Paragrafoelenco"/>
        <w:numPr>
          <w:ilvl w:val="0"/>
          <w:numId w:val="26"/>
        </w:numPr>
        <w:rPr>
          <w:sz w:val="20"/>
          <w:szCs w:val="20"/>
        </w:rPr>
      </w:pPr>
      <w:r w:rsidRPr="00C814F1">
        <w:rPr>
          <w:sz w:val="20"/>
          <w:szCs w:val="20"/>
        </w:rPr>
        <w:t>Presupposto 2: dissenso di almeno una classe di creditori.</w:t>
      </w:r>
    </w:p>
    <w:p w14:paraId="30FE7FB2" w14:textId="77777777" w:rsidR="00362F98" w:rsidRPr="00C814F1" w:rsidRDefault="00362F98" w:rsidP="00362F98">
      <w:pPr>
        <w:pStyle w:val="Paragrafoelenco"/>
        <w:numPr>
          <w:ilvl w:val="0"/>
          <w:numId w:val="26"/>
        </w:numPr>
        <w:rPr>
          <w:sz w:val="20"/>
          <w:szCs w:val="20"/>
        </w:rPr>
      </w:pPr>
      <w:r w:rsidRPr="00C814F1">
        <w:rPr>
          <w:sz w:val="20"/>
          <w:szCs w:val="20"/>
        </w:rPr>
        <w:t>Presupposto 3: omologazione mediante ristrutturazione trasversale.</w:t>
      </w:r>
    </w:p>
    <w:p w14:paraId="2E75908E" w14:textId="77777777" w:rsidR="00362F98" w:rsidRPr="00C814F1" w:rsidRDefault="00362F98" w:rsidP="00362F98">
      <w:pPr>
        <w:pStyle w:val="Paragrafoelenco"/>
        <w:numPr>
          <w:ilvl w:val="0"/>
          <w:numId w:val="26"/>
        </w:numPr>
        <w:rPr>
          <w:sz w:val="20"/>
          <w:szCs w:val="20"/>
        </w:rPr>
      </w:pPr>
      <w:r w:rsidRPr="00C814F1">
        <w:rPr>
          <w:sz w:val="20"/>
          <w:szCs w:val="20"/>
        </w:rPr>
        <w:lastRenderedPageBreak/>
        <w:t>Se tutte le classi approvano, la norma non opera.</w:t>
      </w:r>
    </w:p>
    <w:p w14:paraId="551BA938" w14:textId="77777777" w:rsidR="00362F98" w:rsidRPr="00C814F1" w:rsidRDefault="00362F98">
      <w:pPr>
        <w:pStyle w:val="Titolo2"/>
        <w:rPr>
          <w:rFonts w:asciiTheme="minorHAnsi" w:hAnsiTheme="minorHAnsi" w:cstheme="minorBidi"/>
          <w:kern w:val="0"/>
          <w:sz w:val="36"/>
          <w:szCs w:val="36"/>
          <w:lang w:eastAsia="it-IT"/>
          <w14:ligatures w14:val="none"/>
        </w:rPr>
      </w:pPr>
      <w:r w:rsidRPr="00C814F1">
        <w:rPr>
          <w:rFonts w:asciiTheme="minorHAnsi" w:hAnsiTheme="minorHAnsi" w:cstheme="minorBidi"/>
        </w:rPr>
        <w:t>Slide 24 — Criticità operative</w:t>
      </w:r>
    </w:p>
    <w:p w14:paraId="41217596" w14:textId="77777777" w:rsidR="00362F98" w:rsidRPr="00C814F1" w:rsidRDefault="00362F98" w:rsidP="00362F98">
      <w:pPr>
        <w:pStyle w:val="Paragrafoelenco"/>
        <w:numPr>
          <w:ilvl w:val="0"/>
          <w:numId w:val="27"/>
        </w:numPr>
        <w:rPr>
          <w:kern w:val="0"/>
          <w:sz w:val="20"/>
          <w:szCs w:val="20"/>
          <w:lang w:eastAsia="it-IT"/>
          <w14:ligatures w14:val="none"/>
        </w:rPr>
      </w:pPr>
      <w:r w:rsidRPr="00C814F1">
        <w:rPr>
          <w:sz w:val="20"/>
          <w:szCs w:val="20"/>
        </w:rPr>
        <w:t>Definizione ambigua di “valore effettivo”.</w:t>
      </w:r>
    </w:p>
    <w:p w14:paraId="3BA8CF43" w14:textId="77777777" w:rsidR="00362F98" w:rsidRPr="00C814F1" w:rsidRDefault="00362F98" w:rsidP="00362F98">
      <w:pPr>
        <w:pStyle w:val="Paragrafoelenco"/>
        <w:numPr>
          <w:ilvl w:val="0"/>
          <w:numId w:val="27"/>
        </w:numPr>
        <w:rPr>
          <w:sz w:val="20"/>
          <w:szCs w:val="20"/>
        </w:rPr>
      </w:pPr>
      <w:r w:rsidRPr="00C814F1">
        <w:rPr>
          <w:sz w:val="20"/>
          <w:szCs w:val="20"/>
        </w:rPr>
        <w:t>Rinvio problematico al valore d’uso.</w:t>
      </w:r>
    </w:p>
    <w:p w14:paraId="56241A06" w14:textId="77777777" w:rsidR="00362F98" w:rsidRPr="00C814F1" w:rsidRDefault="00362F98" w:rsidP="00362F98">
      <w:pPr>
        <w:pStyle w:val="Paragrafoelenco"/>
        <w:numPr>
          <w:ilvl w:val="0"/>
          <w:numId w:val="27"/>
        </w:numPr>
        <w:rPr>
          <w:sz w:val="20"/>
          <w:szCs w:val="20"/>
        </w:rPr>
      </w:pPr>
      <w:r w:rsidRPr="00C814F1">
        <w:rPr>
          <w:sz w:val="20"/>
          <w:szCs w:val="20"/>
        </w:rPr>
        <w:t>Proiezioni ultra-piano difficili da verificare.</w:t>
      </w:r>
    </w:p>
    <w:p w14:paraId="42074C78" w14:textId="77777777" w:rsidR="00362F98" w:rsidRPr="00C814F1" w:rsidRDefault="00362F98" w:rsidP="00362F98">
      <w:pPr>
        <w:pStyle w:val="Paragrafoelenco"/>
        <w:numPr>
          <w:ilvl w:val="0"/>
          <w:numId w:val="27"/>
        </w:numPr>
        <w:rPr>
          <w:sz w:val="20"/>
          <w:szCs w:val="20"/>
        </w:rPr>
      </w:pPr>
      <w:r w:rsidRPr="00C814F1">
        <w:rPr>
          <w:sz w:val="20"/>
          <w:szCs w:val="20"/>
        </w:rPr>
        <w:t>Mancanza di criteri espressi di redistribuzione.</w:t>
      </w:r>
    </w:p>
    <w:p w14:paraId="2D0D6DD6" w14:textId="77777777" w:rsidR="00362F98" w:rsidRPr="00C814F1" w:rsidRDefault="00362F98" w:rsidP="00362F98">
      <w:pPr>
        <w:pStyle w:val="Paragrafoelenco"/>
        <w:numPr>
          <w:ilvl w:val="0"/>
          <w:numId w:val="27"/>
        </w:numPr>
        <w:rPr>
          <w:sz w:val="20"/>
          <w:szCs w:val="20"/>
        </w:rPr>
      </w:pPr>
      <w:r w:rsidRPr="00C814F1">
        <w:rPr>
          <w:sz w:val="20"/>
          <w:szCs w:val="20"/>
        </w:rPr>
        <w:t>Controllo rinviato alla fase di omologazione.</w:t>
      </w:r>
    </w:p>
    <w:p w14:paraId="773B8733" w14:textId="77777777" w:rsidR="00362F98" w:rsidRPr="00C814F1" w:rsidRDefault="00362F98" w:rsidP="00362F98">
      <w:pPr>
        <w:pStyle w:val="Paragrafoelenco"/>
        <w:numPr>
          <w:ilvl w:val="0"/>
          <w:numId w:val="27"/>
        </w:numPr>
        <w:rPr>
          <w:sz w:val="20"/>
          <w:szCs w:val="20"/>
        </w:rPr>
      </w:pPr>
      <w:r w:rsidRPr="00C814F1">
        <w:rPr>
          <w:sz w:val="20"/>
          <w:szCs w:val="20"/>
        </w:rPr>
        <w:t>Rischio di conflitti peritali.</w:t>
      </w:r>
    </w:p>
    <w:p w14:paraId="741A18D5" w14:textId="77777777" w:rsidR="00362F98" w:rsidRPr="00C814F1" w:rsidRDefault="00362F98">
      <w:pPr>
        <w:pStyle w:val="Titolo2"/>
        <w:rPr>
          <w:rFonts w:asciiTheme="minorHAnsi" w:hAnsiTheme="minorHAnsi" w:cstheme="minorBidi"/>
          <w:kern w:val="0"/>
          <w:sz w:val="36"/>
          <w:szCs w:val="36"/>
          <w:lang w:eastAsia="it-IT"/>
          <w14:ligatures w14:val="none"/>
        </w:rPr>
      </w:pPr>
      <w:r w:rsidRPr="00C814F1">
        <w:rPr>
          <w:rFonts w:asciiTheme="minorHAnsi" w:hAnsiTheme="minorHAnsi" w:cstheme="minorBidi"/>
        </w:rPr>
        <w:t>Slide 25 — Conclusione</w:t>
      </w:r>
    </w:p>
    <w:p w14:paraId="0C148980" w14:textId="77777777" w:rsidR="00362F98" w:rsidRPr="00C814F1" w:rsidRDefault="00362F98" w:rsidP="00362F98">
      <w:pPr>
        <w:pStyle w:val="Paragrafoelenco"/>
        <w:numPr>
          <w:ilvl w:val="0"/>
          <w:numId w:val="28"/>
        </w:numPr>
        <w:rPr>
          <w:kern w:val="0"/>
          <w:sz w:val="20"/>
          <w:szCs w:val="20"/>
          <w:lang w:eastAsia="it-IT"/>
          <w14:ligatures w14:val="none"/>
        </w:rPr>
      </w:pPr>
      <w:r w:rsidRPr="00C814F1">
        <w:rPr>
          <w:sz w:val="20"/>
          <w:szCs w:val="20"/>
        </w:rPr>
        <w:t>L’art. 120-quater disciplina il valore che resta ai soci nella ristrutturazione.</w:t>
      </w:r>
    </w:p>
    <w:p w14:paraId="0AEBAD59" w14:textId="77777777" w:rsidR="00362F98" w:rsidRPr="00C814F1" w:rsidRDefault="00362F98" w:rsidP="00362F98">
      <w:pPr>
        <w:pStyle w:val="Paragrafoelenco"/>
        <w:numPr>
          <w:ilvl w:val="0"/>
          <w:numId w:val="28"/>
        </w:numPr>
        <w:rPr>
          <w:sz w:val="20"/>
          <w:szCs w:val="20"/>
        </w:rPr>
      </w:pPr>
      <w:r w:rsidRPr="00C814F1">
        <w:rPr>
          <w:sz w:val="20"/>
          <w:szCs w:val="20"/>
        </w:rPr>
        <w:t>Non elimina i soci, ma ne condiziona la permanenza nel valore.</w:t>
      </w:r>
    </w:p>
    <w:p w14:paraId="0E65EB81" w14:textId="77777777" w:rsidR="00362F98" w:rsidRPr="00C814F1" w:rsidRDefault="00362F98" w:rsidP="00362F98">
      <w:pPr>
        <w:pStyle w:val="Paragrafoelenco"/>
        <w:numPr>
          <w:ilvl w:val="0"/>
          <w:numId w:val="28"/>
        </w:numPr>
        <w:rPr>
          <w:sz w:val="20"/>
          <w:szCs w:val="20"/>
        </w:rPr>
      </w:pPr>
      <w:r w:rsidRPr="00C814F1">
        <w:rPr>
          <w:sz w:val="20"/>
          <w:szCs w:val="20"/>
        </w:rPr>
        <w:t>Cerca un equilibrio tra continuità, creditori e capitale di rischio.</w:t>
      </w:r>
    </w:p>
    <w:p w14:paraId="770861DE" w14:textId="77777777" w:rsidR="00362F98" w:rsidRPr="00C814F1" w:rsidRDefault="00362F98" w:rsidP="00362F98">
      <w:pPr>
        <w:pStyle w:val="Paragrafoelenco"/>
        <w:numPr>
          <w:ilvl w:val="0"/>
          <w:numId w:val="28"/>
        </w:numPr>
        <w:rPr>
          <w:sz w:val="20"/>
          <w:szCs w:val="20"/>
        </w:rPr>
      </w:pPr>
      <w:r w:rsidRPr="00C814F1">
        <w:rPr>
          <w:sz w:val="20"/>
          <w:szCs w:val="20"/>
        </w:rPr>
        <w:t>La sua applicazione è incerta e potenzialmente paralizzante.</w:t>
      </w:r>
    </w:p>
    <w:p w14:paraId="331FD460" w14:textId="1AA06FB1" w:rsidR="00362F98" w:rsidRPr="00C814F1" w:rsidRDefault="00362F98" w:rsidP="004E014A">
      <w:pPr>
        <w:pStyle w:val="Paragrafoelenco"/>
        <w:numPr>
          <w:ilvl w:val="0"/>
          <w:numId w:val="28"/>
        </w:numPr>
      </w:pPr>
      <w:r w:rsidRPr="00C814F1">
        <w:rPr>
          <w:sz w:val="20"/>
          <w:szCs w:val="20"/>
        </w:rPr>
        <w:t>L’elevata alea interpretativa può rendere preferibili strumenti alternativi, come P.R.O. o accordi ad efficacia estesa.</w:t>
      </w:r>
    </w:p>
    <w:p w14:paraId="343E911D" w14:textId="77777777" w:rsidR="0045451C" w:rsidRPr="00C814F1" w:rsidRDefault="0045451C">
      <w:pPr>
        <w:pStyle w:val="Paragrafoelenco"/>
        <w:numPr>
          <w:ilvl w:val="0"/>
          <w:numId w:val="28"/>
        </w:numPr>
      </w:pPr>
    </w:p>
    <w:sectPr w:rsidR="0045451C" w:rsidRPr="00C814F1">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83D3FD9" w14:textId="77777777" w:rsidR="00920776" w:rsidRDefault="00920776" w:rsidP="00D732F8">
      <w:r>
        <w:separator/>
      </w:r>
    </w:p>
  </w:endnote>
  <w:endnote w:type="continuationSeparator" w:id="0">
    <w:p w14:paraId="749FD2A4" w14:textId="77777777" w:rsidR="00920776" w:rsidRDefault="00920776" w:rsidP="00D732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 w:name="ƒf[Ó">
    <w:altName w:val="Calibri"/>
    <w:panose1 w:val="020B0604020202020204"/>
    <w:charset w:val="4D"/>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umeropagina"/>
      </w:rPr>
      <w:id w:val="1975487811"/>
      <w:docPartObj>
        <w:docPartGallery w:val="Page Numbers (Bottom of Page)"/>
        <w:docPartUnique/>
      </w:docPartObj>
    </w:sdtPr>
    <w:sdtContent>
      <w:p w14:paraId="6BC68ACF" w14:textId="2A77395C" w:rsidR="000E7C0E" w:rsidRDefault="000E7C0E" w:rsidP="00596DFD">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rPr>
          <w:fldChar w:fldCharType="end"/>
        </w:r>
      </w:p>
    </w:sdtContent>
  </w:sdt>
  <w:p w14:paraId="4B7BE9D6" w14:textId="77777777" w:rsidR="000E7C0E" w:rsidRDefault="000E7C0E" w:rsidP="000E7C0E">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umeropagina"/>
      </w:rPr>
      <w:id w:val="1802044257"/>
      <w:docPartObj>
        <w:docPartGallery w:val="Page Numbers (Bottom of Page)"/>
        <w:docPartUnique/>
      </w:docPartObj>
    </w:sdtPr>
    <w:sdtContent>
      <w:p w14:paraId="54074474" w14:textId="6D682CE1" w:rsidR="000E7C0E" w:rsidRDefault="000E7C0E" w:rsidP="00596DFD">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627C4245" w14:textId="77777777" w:rsidR="000E7C0E" w:rsidRDefault="000E7C0E" w:rsidP="000E7C0E">
    <w:pPr>
      <w:pStyle w:val="Pidipa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CA12CA" w14:textId="77777777" w:rsidR="00857E78" w:rsidRDefault="00857E7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7BF66F4" w14:textId="77777777" w:rsidR="00920776" w:rsidRDefault="00920776" w:rsidP="00D732F8">
      <w:r>
        <w:separator/>
      </w:r>
    </w:p>
  </w:footnote>
  <w:footnote w:type="continuationSeparator" w:id="0">
    <w:p w14:paraId="3060CCFA" w14:textId="77777777" w:rsidR="00920776" w:rsidRDefault="00920776" w:rsidP="00D732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C6D54A" w14:textId="77777777" w:rsidR="00857E78" w:rsidRDefault="00857E7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AA776B" w14:textId="77777777" w:rsidR="00857E78" w:rsidRDefault="00857E78">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09FF1B" w14:textId="77777777" w:rsidR="00857E78" w:rsidRDefault="00857E7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8405A6"/>
    <w:multiLevelType w:val="multilevel"/>
    <w:tmpl w:val="B5A05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833DAD"/>
    <w:multiLevelType w:val="multilevel"/>
    <w:tmpl w:val="B2A28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070737"/>
    <w:multiLevelType w:val="multilevel"/>
    <w:tmpl w:val="0406C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732DC8"/>
    <w:multiLevelType w:val="multilevel"/>
    <w:tmpl w:val="13A02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EE30E0"/>
    <w:multiLevelType w:val="multilevel"/>
    <w:tmpl w:val="63AE9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920FA8"/>
    <w:multiLevelType w:val="multilevel"/>
    <w:tmpl w:val="81DEC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F2076E"/>
    <w:multiLevelType w:val="multilevel"/>
    <w:tmpl w:val="70060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250FAC"/>
    <w:multiLevelType w:val="multilevel"/>
    <w:tmpl w:val="ED187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FA3ADC"/>
    <w:multiLevelType w:val="multilevel"/>
    <w:tmpl w:val="89D40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3D337A"/>
    <w:multiLevelType w:val="multilevel"/>
    <w:tmpl w:val="23DAD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FD7281"/>
    <w:multiLevelType w:val="multilevel"/>
    <w:tmpl w:val="3260D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E02E5D"/>
    <w:multiLevelType w:val="multilevel"/>
    <w:tmpl w:val="E4FE8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C75471"/>
    <w:multiLevelType w:val="multilevel"/>
    <w:tmpl w:val="80CA6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D02C0D"/>
    <w:multiLevelType w:val="multilevel"/>
    <w:tmpl w:val="6F9C0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3A0419"/>
    <w:multiLevelType w:val="multilevel"/>
    <w:tmpl w:val="DA3E3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2F5BEB"/>
    <w:multiLevelType w:val="multilevel"/>
    <w:tmpl w:val="221E2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2014FE"/>
    <w:multiLevelType w:val="multilevel"/>
    <w:tmpl w:val="1D72D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5E7641"/>
    <w:multiLevelType w:val="multilevel"/>
    <w:tmpl w:val="F4065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C35FF3"/>
    <w:multiLevelType w:val="multilevel"/>
    <w:tmpl w:val="69B22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F903D9"/>
    <w:multiLevelType w:val="multilevel"/>
    <w:tmpl w:val="7AFA3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A52CBE"/>
    <w:multiLevelType w:val="multilevel"/>
    <w:tmpl w:val="6BCAB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63658A"/>
    <w:multiLevelType w:val="multilevel"/>
    <w:tmpl w:val="69D20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0C3B14"/>
    <w:multiLevelType w:val="multilevel"/>
    <w:tmpl w:val="3E803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B253C1"/>
    <w:multiLevelType w:val="multilevel"/>
    <w:tmpl w:val="B4FA7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D564B74"/>
    <w:multiLevelType w:val="multilevel"/>
    <w:tmpl w:val="BB482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F3632B8"/>
    <w:multiLevelType w:val="multilevel"/>
    <w:tmpl w:val="DF5C8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444182F"/>
    <w:multiLevelType w:val="multilevel"/>
    <w:tmpl w:val="058C2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1F584B"/>
    <w:multiLevelType w:val="multilevel"/>
    <w:tmpl w:val="1F043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2215375">
    <w:abstractNumId w:val="25"/>
  </w:num>
  <w:num w:numId="2" w16cid:durableId="793212297">
    <w:abstractNumId w:val="26"/>
  </w:num>
  <w:num w:numId="3" w16cid:durableId="1502353410">
    <w:abstractNumId w:val="20"/>
  </w:num>
  <w:num w:numId="4" w16cid:durableId="2140679552">
    <w:abstractNumId w:val="12"/>
  </w:num>
  <w:num w:numId="5" w16cid:durableId="1364865789">
    <w:abstractNumId w:val="23"/>
  </w:num>
  <w:num w:numId="6" w16cid:durableId="1889102654">
    <w:abstractNumId w:val="7"/>
  </w:num>
  <w:num w:numId="7" w16cid:durableId="1865440398">
    <w:abstractNumId w:val="27"/>
  </w:num>
  <w:num w:numId="8" w16cid:durableId="1687363866">
    <w:abstractNumId w:val="15"/>
  </w:num>
  <w:num w:numId="9" w16cid:durableId="754279013">
    <w:abstractNumId w:val="18"/>
  </w:num>
  <w:num w:numId="10" w16cid:durableId="883098905">
    <w:abstractNumId w:val="19"/>
  </w:num>
  <w:num w:numId="11" w16cid:durableId="437256817">
    <w:abstractNumId w:val="3"/>
  </w:num>
  <w:num w:numId="12" w16cid:durableId="1993361705">
    <w:abstractNumId w:val="8"/>
  </w:num>
  <w:num w:numId="13" w16cid:durableId="1232934339">
    <w:abstractNumId w:val="5"/>
  </w:num>
  <w:num w:numId="14" w16cid:durableId="803473061">
    <w:abstractNumId w:val="6"/>
  </w:num>
  <w:num w:numId="15" w16cid:durableId="1107696103">
    <w:abstractNumId w:val="10"/>
  </w:num>
  <w:num w:numId="16" w16cid:durableId="1591770448">
    <w:abstractNumId w:val="24"/>
  </w:num>
  <w:num w:numId="17" w16cid:durableId="1139688214">
    <w:abstractNumId w:val="2"/>
  </w:num>
  <w:num w:numId="18" w16cid:durableId="1788965932">
    <w:abstractNumId w:val="1"/>
  </w:num>
  <w:num w:numId="19" w16cid:durableId="234320679">
    <w:abstractNumId w:val="17"/>
  </w:num>
  <w:num w:numId="20" w16cid:durableId="1171796444">
    <w:abstractNumId w:val="22"/>
  </w:num>
  <w:num w:numId="21" w16cid:durableId="1194727089">
    <w:abstractNumId w:val="4"/>
  </w:num>
  <w:num w:numId="22" w16cid:durableId="18433398">
    <w:abstractNumId w:val="21"/>
  </w:num>
  <w:num w:numId="23" w16cid:durableId="180437630">
    <w:abstractNumId w:val="14"/>
  </w:num>
  <w:num w:numId="24" w16cid:durableId="1035228933">
    <w:abstractNumId w:val="11"/>
  </w:num>
  <w:num w:numId="25" w16cid:durableId="1412891383">
    <w:abstractNumId w:val="16"/>
  </w:num>
  <w:num w:numId="26" w16cid:durableId="294214683">
    <w:abstractNumId w:val="0"/>
  </w:num>
  <w:num w:numId="27" w16cid:durableId="600915677">
    <w:abstractNumId w:val="13"/>
  </w:num>
  <w:num w:numId="28" w16cid:durableId="2120179456">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7"/>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2F8"/>
    <w:rsid w:val="000048D7"/>
    <w:rsid w:val="000119F7"/>
    <w:rsid w:val="00013E51"/>
    <w:rsid w:val="000167D6"/>
    <w:rsid w:val="000251E0"/>
    <w:rsid w:val="000439BD"/>
    <w:rsid w:val="00047187"/>
    <w:rsid w:val="00053EC0"/>
    <w:rsid w:val="000632C7"/>
    <w:rsid w:val="0007044E"/>
    <w:rsid w:val="00075F56"/>
    <w:rsid w:val="00087F41"/>
    <w:rsid w:val="00087F6D"/>
    <w:rsid w:val="00090CEA"/>
    <w:rsid w:val="0009123D"/>
    <w:rsid w:val="000A278D"/>
    <w:rsid w:val="000A6483"/>
    <w:rsid w:val="000E7C0E"/>
    <w:rsid w:val="00101B8D"/>
    <w:rsid w:val="00103D58"/>
    <w:rsid w:val="001152DB"/>
    <w:rsid w:val="00125F1A"/>
    <w:rsid w:val="00133CC7"/>
    <w:rsid w:val="0013627C"/>
    <w:rsid w:val="0015527E"/>
    <w:rsid w:val="00157A22"/>
    <w:rsid w:val="001B3852"/>
    <w:rsid w:val="001C6D7C"/>
    <w:rsid w:val="001D0D2A"/>
    <w:rsid w:val="001D34A9"/>
    <w:rsid w:val="001D3525"/>
    <w:rsid w:val="001D354D"/>
    <w:rsid w:val="001E6541"/>
    <w:rsid w:val="00217027"/>
    <w:rsid w:val="00233CAC"/>
    <w:rsid w:val="002443DE"/>
    <w:rsid w:val="00245030"/>
    <w:rsid w:val="0024516F"/>
    <w:rsid w:val="0027177F"/>
    <w:rsid w:val="002B1861"/>
    <w:rsid w:val="002B2A29"/>
    <w:rsid w:val="002D038B"/>
    <w:rsid w:val="002D307D"/>
    <w:rsid w:val="002D6997"/>
    <w:rsid w:val="002E392F"/>
    <w:rsid w:val="002E4376"/>
    <w:rsid w:val="003029B2"/>
    <w:rsid w:val="003215C1"/>
    <w:rsid w:val="00321CCD"/>
    <w:rsid w:val="00332ACF"/>
    <w:rsid w:val="00352129"/>
    <w:rsid w:val="00356BBB"/>
    <w:rsid w:val="003620C5"/>
    <w:rsid w:val="00362F98"/>
    <w:rsid w:val="00386ECB"/>
    <w:rsid w:val="00387BFF"/>
    <w:rsid w:val="003C1F8F"/>
    <w:rsid w:val="003C20F7"/>
    <w:rsid w:val="003C6B9F"/>
    <w:rsid w:val="003D5821"/>
    <w:rsid w:val="003E247C"/>
    <w:rsid w:val="003F5C9D"/>
    <w:rsid w:val="00402964"/>
    <w:rsid w:val="00415FA2"/>
    <w:rsid w:val="0043530A"/>
    <w:rsid w:val="004366DF"/>
    <w:rsid w:val="0045451C"/>
    <w:rsid w:val="0046307A"/>
    <w:rsid w:val="00474C51"/>
    <w:rsid w:val="004876C7"/>
    <w:rsid w:val="004931C3"/>
    <w:rsid w:val="004964B6"/>
    <w:rsid w:val="00497E9D"/>
    <w:rsid w:val="004B172A"/>
    <w:rsid w:val="004C0DA7"/>
    <w:rsid w:val="004D6BC1"/>
    <w:rsid w:val="004D6EB9"/>
    <w:rsid w:val="004E014A"/>
    <w:rsid w:val="004E2D6B"/>
    <w:rsid w:val="004F1538"/>
    <w:rsid w:val="004F41F4"/>
    <w:rsid w:val="00506AD8"/>
    <w:rsid w:val="0050714E"/>
    <w:rsid w:val="00513483"/>
    <w:rsid w:val="00542B96"/>
    <w:rsid w:val="005446A0"/>
    <w:rsid w:val="00552850"/>
    <w:rsid w:val="005562ED"/>
    <w:rsid w:val="005572B8"/>
    <w:rsid w:val="00561392"/>
    <w:rsid w:val="0057057D"/>
    <w:rsid w:val="00573811"/>
    <w:rsid w:val="0059035A"/>
    <w:rsid w:val="00592371"/>
    <w:rsid w:val="005940F2"/>
    <w:rsid w:val="005979FE"/>
    <w:rsid w:val="005A3793"/>
    <w:rsid w:val="005B62DB"/>
    <w:rsid w:val="005D1B85"/>
    <w:rsid w:val="005E59BC"/>
    <w:rsid w:val="005E5ADF"/>
    <w:rsid w:val="005E6B99"/>
    <w:rsid w:val="00602B57"/>
    <w:rsid w:val="006246E2"/>
    <w:rsid w:val="006360FA"/>
    <w:rsid w:val="006770ED"/>
    <w:rsid w:val="00696363"/>
    <w:rsid w:val="006D7CE9"/>
    <w:rsid w:val="006F5718"/>
    <w:rsid w:val="006F7359"/>
    <w:rsid w:val="007029F3"/>
    <w:rsid w:val="00704C25"/>
    <w:rsid w:val="00707BC2"/>
    <w:rsid w:val="00712D61"/>
    <w:rsid w:val="0072215C"/>
    <w:rsid w:val="00725DE9"/>
    <w:rsid w:val="00743091"/>
    <w:rsid w:val="007717D3"/>
    <w:rsid w:val="00772F8E"/>
    <w:rsid w:val="00773871"/>
    <w:rsid w:val="007757F3"/>
    <w:rsid w:val="007836B1"/>
    <w:rsid w:val="007A10BC"/>
    <w:rsid w:val="007D3C43"/>
    <w:rsid w:val="007E7441"/>
    <w:rsid w:val="007E7E60"/>
    <w:rsid w:val="007F6A80"/>
    <w:rsid w:val="00817D47"/>
    <w:rsid w:val="00823276"/>
    <w:rsid w:val="008329B8"/>
    <w:rsid w:val="008437C7"/>
    <w:rsid w:val="00845404"/>
    <w:rsid w:val="00846FE8"/>
    <w:rsid w:val="00857E78"/>
    <w:rsid w:val="00895ACC"/>
    <w:rsid w:val="008C038C"/>
    <w:rsid w:val="008D68C3"/>
    <w:rsid w:val="008E2CAF"/>
    <w:rsid w:val="008E3231"/>
    <w:rsid w:val="008F4927"/>
    <w:rsid w:val="008F718D"/>
    <w:rsid w:val="008F729E"/>
    <w:rsid w:val="00900D11"/>
    <w:rsid w:val="009051B4"/>
    <w:rsid w:val="00920776"/>
    <w:rsid w:val="0092144A"/>
    <w:rsid w:val="00935794"/>
    <w:rsid w:val="00940910"/>
    <w:rsid w:val="00956449"/>
    <w:rsid w:val="009A34E6"/>
    <w:rsid w:val="009A4761"/>
    <w:rsid w:val="009B082C"/>
    <w:rsid w:val="009B61AB"/>
    <w:rsid w:val="009B6226"/>
    <w:rsid w:val="009B63FA"/>
    <w:rsid w:val="009D2777"/>
    <w:rsid w:val="009D2802"/>
    <w:rsid w:val="009D5189"/>
    <w:rsid w:val="00A04F2A"/>
    <w:rsid w:val="00A265BA"/>
    <w:rsid w:val="00A26812"/>
    <w:rsid w:val="00A3653F"/>
    <w:rsid w:val="00A40B6E"/>
    <w:rsid w:val="00A9080E"/>
    <w:rsid w:val="00A9354F"/>
    <w:rsid w:val="00A93C5B"/>
    <w:rsid w:val="00AA5CC7"/>
    <w:rsid w:val="00AB5534"/>
    <w:rsid w:val="00AC397A"/>
    <w:rsid w:val="00AE238E"/>
    <w:rsid w:val="00B103EB"/>
    <w:rsid w:val="00B12448"/>
    <w:rsid w:val="00B20B53"/>
    <w:rsid w:val="00B26763"/>
    <w:rsid w:val="00B34161"/>
    <w:rsid w:val="00B516A9"/>
    <w:rsid w:val="00B51C98"/>
    <w:rsid w:val="00B65A1F"/>
    <w:rsid w:val="00BB2545"/>
    <w:rsid w:val="00BB7C53"/>
    <w:rsid w:val="00BC547D"/>
    <w:rsid w:val="00BE7284"/>
    <w:rsid w:val="00BF546F"/>
    <w:rsid w:val="00C20AED"/>
    <w:rsid w:val="00C213DD"/>
    <w:rsid w:val="00C303D4"/>
    <w:rsid w:val="00C30953"/>
    <w:rsid w:val="00C3461C"/>
    <w:rsid w:val="00C419A3"/>
    <w:rsid w:val="00C53318"/>
    <w:rsid w:val="00C74562"/>
    <w:rsid w:val="00C814F1"/>
    <w:rsid w:val="00C83390"/>
    <w:rsid w:val="00C83FA9"/>
    <w:rsid w:val="00C8636D"/>
    <w:rsid w:val="00C903DB"/>
    <w:rsid w:val="00CC6ED9"/>
    <w:rsid w:val="00CD0908"/>
    <w:rsid w:val="00CE2C3D"/>
    <w:rsid w:val="00CE64F7"/>
    <w:rsid w:val="00D13D54"/>
    <w:rsid w:val="00D17888"/>
    <w:rsid w:val="00D27E44"/>
    <w:rsid w:val="00D46001"/>
    <w:rsid w:val="00D606EA"/>
    <w:rsid w:val="00D64753"/>
    <w:rsid w:val="00D728A0"/>
    <w:rsid w:val="00D732F8"/>
    <w:rsid w:val="00D73819"/>
    <w:rsid w:val="00D76FBD"/>
    <w:rsid w:val="00D97F29"/>
    <w:rsid w:val="00D97F2C"/>
    <w:rsid w:val="00DA1970"/>
    <w:rsid w:val="00DA1DCC"/>
    <w:rsid w:val="00DA2E83"/>
    <w:rsid w:val="00DA7E02"/>
    <w:rsid w:val="00DC125E"/>
    <w:rsid w:val="00DE6B15"/>
    <w:rsid w:val="00DF65E3"/>
    <w:rsid w:val="00E179F6"/>
    <w:rsid w:val="00E30419"/>
    <w:rsid w:val="00E30592"/>
    <w:rsid w:val="00E80CFC"/>
    <w:rsid w:val="00EA02F1"/>
    <w:rsid w:val="00EB19E4"/>
    <w:rsid w:val="00EB2B4F"/>
    <w:rsid w:val="00EB7216"/>
    <w:rsid w:val="00EC71EB"/>
    <w:rsid w:val="00F47BA2"/>
    <w:rsid w:val="00F53729"/>
    <w:rsid w:val="00F57D4C"/>
    <w:rsid w:val="00F614F7"/>
    <w:rsid w:val="00F8047C"/>
    <w:rsid w:val="00F93B4B"/>
    <w:rsid w:val="00F94052"/>
    <w:rsid w:val="00FA26C9"/>
    <w:rsid w:val="00FA49FA"/>
    <w:rsid w:val="00FB10C6"/>
    <w:rsid w:val="00FB22C8"/>
    <w:rsid w:val="00FB30BD"/>
    <w:rsid w:val="00FB3EA5"/>
    <w:rsid w:val="00FC010B"/>
    <w:rsid w:val="00FE230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BA644"/>
  <w15:chartTrackingRefBased/>
  <w15:docId w15:val="{0C410EA0-D22F-1241-84F6-C00CDF76F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D732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D732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732F8"/>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732F8"/>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732F8"/>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D732F8"/>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732F8"/>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732F8"/>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732F8"/>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732F8"/>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rsid w:val="00D732F8"/>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732F8"/>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732F8"/>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732F8"/>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732F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732F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732F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732F8"/>
    <w:rPr>
      <w:rFonts w:eastAsiaTheme="majorEastAsia" w:cstheme="majorBidi"/>
      <w:color w:val="272727" w:themeColor="text1" w:themeTint="D8"/>
    </w:rPr>
  </w:style>
  <w:style w:type="paragraph" w:styleId="Titolo">
    <w:name w:val="Title"/>
    <w:basedOn w:val="Normale"/>
    <w:next w:val="Normale"/>
    <w:link w:val="TitoloCarattere"/>
    <w:uiPriority w:val="10"/>
    <w:qFormat/>
    <w:rsid w:val="00D732F8"/>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732F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732F8"/>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732F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732F8"/>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D732F8"/>
    <w:rPr>
      <w:i/>
      <w:iCs/>
      <w:color w:val="404040" w:themeColor="text1" w:themeTint="BF"/>
    </w:rPr>
  </w:style>
  <w:style w:type="paragraph" w:styleId="Paragrafoelenco">
    <w:name w:val="List Paragraph"/>
    <w:basedOn w:val="Normale"/>
    <w:uiPriority w:val="34"/>
    <w:qFormat/>
    <w:rsid w:val="00D732F8"/>
    <w:pPr>
      <w:ind w:left="720"/>
      <w:contextualSpacing/>
    </w:pPr>
  </w:style>
  <w:style w:type="character" w:styleId="Enfasiintensa">
    <w:name w:val="Intense Emphasis"/>
    <w:basedOn w:val="Carpredefinitoparagrafo"/>
    <w:uiPriority w:val="21"/>
    <w:qFormat/>
    <w:rsid w:val="00D732F8"/>
    <w:rPr>
      <w:i/>
      <w:iCs/>
      <w:color w:val="0F4761" w:themeColor="accent1" w:themeShade="BF"/>
    </w:rPr>
  </w:style>
  <w:style w:type="paragraph" w:styleId="Citazioneintensa">
    <w:name w:val="Intense Quote"/>
    <w:basedOn w:val="Normale"/>
    <w:next w:val="Normale"/>
    <w:link w:val="CitazioneintensaCarattere"/>
    <w:uiPriority w:val="30"/>
    <w:qFormat/>
    <w:rsid w:val="00D732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732F8"/>
    <w:rPr>
      <w:i/>
      <w:iCs/>
      <w:color w:val="0F4761" w:themeColor="accent1" w:themeShade="BF"/>
    </w:rPr>
  </w:style>
  <w:style w:type="character" w:styleId="Riferimentointenso">
    <w:name w:val="Intense Reference"/>
    <w:basedOn w:val="Carpredefinitoparagrafo"/>
    <w:uiPriority w:val="32"/>
    <w:qFormat/>
    <w:rsid w:val="00D732F8"/>
    <w:rPr>
      <w:b/>
      <w:bCs/>
      <w:smallCaps/>
      <w:color w:val="0F4761" w:themeColor="accent1" w:themeShade="BF"/>
      <w:spacing w:val="5"/>
    </w:rPr>
  </w:style>
  <w:style w:type="paragraph" w:styleId="Testonotaapidipagina">
    <w:name w:val="footnote text"/>
    <w:basedOn w:val="Normale"/>
    <w:link w:val="TestonotaapidipaginaCarattere"/>
    <w:uiPriority w:val="99"/>
    <w:semiHidden/>
    <w:unhideWhenUsed/>
    <w:rsid w:val="00D732F8"/>
    <w:rPr>
      <w:sz w:val="20"/>
      <w:szCs w:val="20"/>
    </w:rPr>
  </w:style>
  <w:style w:type="character" w:customStyle="1" w:styleId="TestonotaapidipaginaCarattere">
    <w:name w:val="Testo nota a piè di pagina Carattere"/>
    <w:basedOn w:val="Carpredefinitoparagrafo"/>
    <w:link w:val="Testonotaapidipagina"/>
    <w:uiPriority w:val="99"/>
    <w:semiHidden/>
    <w:rsid w:val="00D732F8"/>
    <w:rPr>
      <w:sz w:val="20"/>
      <w:szCs w:val="20"/>
    </w:rPr>
  </w:style>
  <w:style w:type="character" w:styleId="Rimandonotaapidipagina">
    <w:name w:val="footnote reference"/>
    <w:basedOn w:val="Carpredefinitoparagrafo"/>
    <w:uiPriority w:val="99"/>
    <w:semiHidden/>
    <w:unhideWhenUsed/>
    <w:rsid w:val="00D732F8"/>
    <w:rPr>
      <w:vertAlign w:val="superscript"/>
    </w:rPr>
  </w:style>
  <w:style w:type="paragraph" w:styleId="Pidipagina">
    <w:name w:val="footer"/>
    <w:basedOn w:val="Normale"/>
    <w:link w:val="PidipaginaCarattere"/>
    <w:uiPriority w:val="99"/>
    <w:unhideWhenUsed/>
    <w:rsid w:val="000E7C0E"/>
    <w:pPr>
      <w:tabs>
        <w:tab w:val="center" w:pos="4819"/>
        <w:tab w:val="right" w:pos="9638"/>
      </w:tabs>
    </w:pPr>
  </w:style>
  <w:style w:type="character" w:customStyle="1" w:styleId="PidipaginaCarattere">
    <w:name w:val="Piè di pagina Carattere"/>
    <w:basedOn w:val="Carpredefinitoparagrafo"/>
    <w:link w:val="Pidipagina"/>
    <w:uiPriority w:val="99"/>
    <w:rsid w:val="000E7C0E"/>
  </w:style>
  <w:style w:type="character" w:styleId="Numeropagina">
    <w:name w:val="page number"/>
    <w:basedOn w:val="Carpredefinitoparagrafo"/>
    <w:uiPriority w:val="99"/>
    <w:semiHidden/>
    <w:unhideWhenUsed/>
    <w:rsid w:val="000E7C0E"/>
  </w:style>
  <w:style w:type="character" w:styleId="Collegamentoipertestuale">
    <w:name w:val="Hyperlink"/>
    <w:basedOn w:val="Carpredefinitoparagrafo"/>
    <w:uiPriority w:val="99"/>
    <w:unhideWhenUsed/>
    <w:rsid w:val="00D46001"/>
    <w:rPr>
      <w:color w:val="467886" w:themeColor="hyperlink"/>
      <w:u w:val="single"/>
    </w:rPr>
  </w:style>
  <w:style w:type="character" w:styleId="Menzionenonrisolta">
    <w:name w:val="Unresolved Mention"/>
    <w:basedOn w:val="Carpredefinitoparagrafo"/>
    <w:uiPriority w:val="99"/>
    <w:semiHidden/>
    <w:unhideWhenUsed/>
    <w:rsid w:val="00D46001"/>
    <w:rPr>
      <w:color w:val="605E5C"/>
      <w:shd w:val="clear" w:color="auto" w:fill="E1DFDD"/>
    </w:rPr>
  </w:style>
  <w:style w:type="paragraph" w:styleId="Intestazione">
    <w:name w:val="header"/>
    <w:basedOn w:val="Normale"/>
    <w:link w:val="IntestazioneCarattere"/>
    <w:uiPriority w:val="99"/>
    <w:unhideWhenUsed/>
    <w:rsid w:val="00857E78"/>
    <w:pPr>
      <w:tabs>
        <w:tab w:val="center" w:pos="4819"/>
        <w:tab w:val="right" w:pos="9638"/>
      </w:tabs>
    </w:pPr>
  </w:style>
  <w:style w:type="character" w:customStyle="1" w:styleId="IntestazioneCarattere">
    <w:name w:val="Intestazione Carattere"/>
    <w:basedOn w:val="Carpredefinitoparagrafo"/>
    <w:link w:val="Intestazione"/>
    <w:uiPriority w:val="99"/>
    <w:rsid w:val="00857E78"/>
  </w:style>
  <w:style w:type="character" w:customStyle="1" w:styleId="s9">
    <w:name w:val="s9"/>
    <w:basedOn w:val="Carpredefinitoparagrafo"/>
    <w:rsid w:val="004B172A"/>
  </w:style>
  <w:style w:type="character" w:customStyle="1" w:styleId="apple-converted-space">
    <w:name w:val="apple-converted-space"/>
    <w:basedOn w:val="Carpredefinitoparagrafo"/>
    <w:rsid w:val="004B172A"/>
  </w:style>
  <w:style w:type="character" w:customStyle="1" w:styleId="s10">
    <w:name w:val="s10"/>
    <w:basedOn w:val="Carpredefinitoparagrafo"/>
    <w:rsid w:val="004B17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201</TotalTime>
  <Pages>15</Pages>
  <Words>6722</Words>
  <Characters>40601</Characters>
  <Application>Microsoft Office Word</Application>
  <DocSecurity>0</DocSecurity>
  <Lines>712</Lines>
  <Paragraphs>369</Paragraphs>
  <ScaleCrop>false</ScaleCrop>
  <Company/>
  <LinksUpToDate>false</LinksUpToDate>
  <CharactersWithSpaces>46954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 Paolo Macagno</dc:creator>
  <cp:keywords/>
  <dc:description/>
  <cp:lastModifiedBy>Gian Paolo Macagno</cp:lastModifiedBy>
  <cp:revision>258</cp:revision>
  <dcterms:created xsi:type="dcterms:W3CDTF">2026-06-20T14:11:00Z</dcterms:created>
  <dcterms:modified xsi:type="dcterms:W3CDTF">2026-06-21T13:54:00Z</dcterms:modified>
</cp:coreProperties>
</file>